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bidi w:val="0"/>
        <w:spacing w:lineRule="auto" w:line="240" w:before="0" w:after="0"/>
        <w:ind w:hanging="0" w:left="0" w:right="0"/>
        <w:jc w:val="center"/>
        <w:outlineLvl w:val="0"/>
        <w:rPr>
          <w:rFonts w:ascii="Arial" w:hAnsi="Arial"/>
          <w:sz w:val="18"/>
          <w:szCs w:val="18"/>
        </w:rPr>
      </w:pPr>
      <w:r>
        <w:rPr>
          <w:rFonts w:cs="Arial" w:ascii="Arial" w:hAnsi="Arial"/>
          <w:b/>
          <w:color w:val="000000"/>
          <w:sz w:val="18"/>
          <w:szCs w:val="18"/>
          <w:u w:val="single"/>
          <w:shd w:fill="auto" w:val="clear"/>
        </w:rPr>
        <w:t>REPORTING PROFORMA FOR COMMERCIAL WINGS</w:t>
      </w:r>
    </w:p>
    <w:p>
      <w:pPr>
        <w:pStyle w:val="Normal"/>
        <w:numPr>
          <w:ilvl w:val="0"/>
          <w:numId w:val="0"/>
        </w:numPr>
        <w:bidi w:val="0"/>
        <w:spacing w:lineRule="auto" w:line="240" w:before="0" w:after="0"/>
        <w:ind w:hanging="0" w:left="0" w:right="0"/>
        <w:jc w:val="center"/>
        <w:outlineLvl w:val="0"/>
        <w:rPr>
          <w:rFonts w:ascii="Arial" w:hAnsi="Arial"/>
          <w:sz w:val="18"/>
          <w:szCs w:val="18"/>
        </w:rPr>
      </w:pPr>
      <w:r>
        <w:rPr>
          <w:rFonts w:cs="Arial" w:ascii="Arial" w:hAnsi="Arial"/>
          <w:i/>
          <w:color w:val="000000"/>
          <w:sz w:val="18"/>
          <w:szCs w:val="18"/>
          <w:shd w:fill="auto" w:val="clear"/>
        </w:rPr>
        <w:t>(Data Source: National Trade Statistics of the reporting country)</w:t>
      </w:r>
    </w:p>
    <w:p>
      <w:pPr>
        <w:pStyle w:val="Normal"/>
        <w:bidi w:val="0"/>
        <w:spacing w:lineRule="auto" w:line="240" w:before="0" w:after="0"/>
        <w:ind w:hanging="0" w:left="0" w:right="0"/>
        <w:jc w:val="center"/>
        <w:rPr>
          <w:rFonts w:ascii="Arial" w:hAnsi="Arial" w:cs="Arial"/>
          <w:color w:val="000000"/>
          <w:sz w:val="18"/>
          <w:szCs w:val="18"/>
          <w:highlight w:val="none"/>
          <w:shd w:fill="auto" w:val="clear"/>
        </w:rPr>
      </w:pPr>
      <w:r>
        <w:rPr>
          <w:rFonts w:cs="Arial" w:ascii="Arial" w:hAnsi="Arial"/>
          <w:color w:val="000000"/>
          <w:sz w:val="18"/>
          <w:szCs w:val="18"/>
          <w:shd w:fill="auto" w:val="clear"/>
        </w:rPr>
      </w:r>
    </w:p>
    <w:p>
      <w:pPr>
        <w:pStyle w:val="Normal"/>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I. Monthly - Trade in Goods, Tourism &amp; Technologies;</w:t>
      </w:r>
    </w:p>
    <w:p>
      <w:pPr>
        <w:pStyle w:val="Normal"/>
        <w:bidi w:val="0"/>
        <w:spacing w:lineRule="auto" w:line="240" w:before="0" w:after="0"/>
        <w:ind w:hanging="0" w:left="0" w:right="0"/>
        <w:jc w:val="center"/>
        <w:rPr>
          <w:rFonts w:ascii="Arial" w:hAnsi="Arial" w:cs="Arial"/>
          <w:i/>
          <w:i/>
          <w:color w:val="000000"/>
          <w:sz w:val="18"/>
          <w:szCs w:val="18"/>
          <w:highlight w:val="none"/>
          <w:shd w:fill="auto" w:val="clear"/>
        </w:rPr>
      </w:pPr>
      <w:r>
        <w:rPr>
          <w:rFonts w:cs="Arial" w:ascii="Arial" w:hAnsi="Arial"/>
          <w:i/>
          <w:color w:val="000000"/>
          <w:sz w:val="18"/>
          <w:szCs w:val="18"/>
          <w:shd w:fill="auto" w:val="clear"/>
        </w:rPr>
      </w:r>
    </w:p>
    <w:p>
      <w:pPr>
        <w:pStyle w:val="Normal"/>
        <w:numPr>
          <w:ilvl w:val="0"/>
          <w:numId w:val="0"/>
        </w:numPr>
        <w:bidi w:val="0"/>
        <w:spacing w:lineRule="auto" w:line="240" w:before="0" w:after="0"/>
        <w:ind w:hanging="0" w:left="0" w:right="0"/>
        <w:jc w:val="both"/>
        <w:outlineLvl w:val="0"/>
        <w:rPr>
          <w:rFonts w:ascii="Arial" w:hAnsi="Arial"/>
          <w:sz w:val="18"/>
          <w:szCs w:val="18"/>
        </w:rPr>
      </w:pPr>
      <w:r>
        <w:rPr>
          <w:rFonts w:cs="Arial" w:ascii="Arial" w:hAnsi="Arial"/>
          <w:b/>
          <w:color w:val="000000"/>
          <w:sz w:val="18"/>
          <w:szCs w:val="18"/>
          <w:shd w:fill="auto" w:val="clear"/>
        </w:rPr>
        <w:t>Name of the Mission (Country) :</w:t>
        <w:tab/>
        <w:t>MOSCOW (RUSSIA)</w:t>
      </w:r>
    </w:p>
    <w:p>
      <w:pPr>
        <w:pStyle w:val="Normal"/>
        <w:bidi w:val="0"/>
        <w:spacing w:lineRule="auto" w:line="240" w:before="0" w:after="0"/>
        <w:ind w:hanging="0" w:left="0" w:right="0"/>
        <w:jc w:val="both"/>
        <w:rPr>
          <w:rFonts w:ascii="Arial" w:hAnsi="Arial" w:cs="Arial"/>
          <w:color w:val="000000"/>
          <w:sz w:val="18"/>
          <w:szCs w:val="18"/>
          <w:highlight w:val="none"/>
          <w:shd w:fill="auto" w:val="clear"/>
        </w:rPr>
      </w:pPr>
      <w:r>
        <w:rPr>
          <w:rFonts w:cs="Arial" w:ascii="Arial" w:hAnsi="Arial"/>
          <w:color w:val="000000"/>
          <w:sz w:val="18"/>
          <w:szCs w:val="18"/>
          <w:shd w:fill="auto" w:val="clear"/>
        </w:rPr>
      </w:r>
    </w:p>
    <w:p>
      <w:pPr>
        <w:pStyle w:val="Normal"/>
        <w:numPr>
          <w:ilvl w:val="0"/>
          <w:numId w:val="0"/>
        </w:numPr>
        <w:bidi w:val="0"/>
        <w:spacing w:lineRule="auto" w:line="240" w:before="0" w:after="0"/>
        <w:ind w:hanging="0" w:left="0" w:right="0"/>
        <w:jc w:val="center"/>
        <w:rPr>
          <w:rFonts w:ascii="Arial" w:hAnsi="Arial"/>
          <w:sz w:val="18"/>
          <w:szCs w:val="18"/>
        </w:rPr>
      </w:pPr>
      <w:r>
        <w:rPr>
          <w:rFonts w:cs="Arial" w:ascii="Arial" w:hAnsi="Arial"/>
          <w:b/>
          <w:color w:val="000000"/>
          <w:sz w:val="18"/>
          <w:szCs w:val="18"/>
          <w:u w:val="none"/>
          <w:shd w:fill="auto" w:val="clear"/>
        </w:rPr>
        <w:t>MONTHLY REPORT</w:t>
      </w:r>
    </w:p>
    <w:p>
      <w:pPr>
        <w:pStyle w:val="Normal"/>
        <w:numPr>
          <w:ilvl w:val="0"/>
          <w:numId w:val="0"/>
        </w:numPr>
        <w:bidi w:val="0"/>
        <w:spacing w:lineRule="auto" w:line="240" w:before="0" w:after="0"/>
        <w:ind w:hanging="0" w:left="0" w:right="0"/>
        <w:jc w:val="center"/>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center"/>
        <w:rPr>
          <w:rFonts w:ascii="Arial" w:hAnsi="Arial"/>
          <w:sz w:val="18"/>
          <w:szCs w:val="18"/>
        </w:rPr>
      </w:pPr>
      <w:r>
        <w:rPr>
          <w:rFonts w:ascii="Arial" w:hAnsi="Arial"/>
          <w:b/>
          <w:bCs/>
          <w:sz w:val="18"/>
          <w:szCs w:val="18"/>
        </w:rPr>
        <w:t>JULY</w:t>
      </w:r>
      <w:r>
        <w:rPr>
          <w:rFonts w:eastAsia="Calibri" w:ascii="Arial" w:hAnsi="Arial"/>
          <w:b/>
          <w:bCs/>
          <w:kern w:val="0"/>
          <w:sz w:val="18"/>
          <w:szCs w:val="18"/>
          <w:lang w:val="en-US" w:eastAsia="en-US" w:bidi="ar-SA"/>
        </w:rPr>
        <w:t xml:space="preserve"> 2026</w:t>
      </w:r>
    </w:p>
    <w:p>
      <w:pPr>
        <w:pStyle w:val="Normal"/>
        <w:bidi w:val="0"/>
        <w:spacing w:lineRule="auto" w:line="240" w:before="0" w:after="0"/>
        <w:ind w:hanging="0" w:left="0" w:right="0"/>
        <w:jc w:val="center"/>
        <w:rPr>
          <w:rFonts w:ascii="Arial" w:hAnsi="Arial" w:cs="Arial"/>
          <w:b/>
          <w:color w:val="000000"/>
          <w:sz w:val="18"/>
          <w:szCs w:val="18"/>
          <w:highlight w:val="none"/>
          <w:u w:val="single"/>
          <w:shd w:fill="auto" w:val="clear"/>
        </w:rPr>
      </w:pPr>
      <w:r>
        <w:rPr>
          <w:rFonts w:cs="Arial" w:ascii="Arial" w:hAnsi="Arial"/>
          <w:b/>
          <w:color w:val="000000"/>
          <w:sz w:val="18"/>
          <w:szCs w:val="18"/>
          <w:u w:val="single"/>
          <w:shd w:fill="auto" w:val="clear"/>
        </w:rPr>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rPr>
      </w:pPr>
      <w:r>
        <w:rPr>
          <w:rFonts w:cs="Arial" w:ascii="Arial" w:hAnsi="Arial"/>
          <w:b/>
          <w:color w:val="000000"/>
          <w:sz w:val="18"/>
          <w:szCs w:val="18"/>
          <w:u w:val="single"/>
          <w:shd w:fill="auto" w:val="clear"/>
        </w:rPr>
        <w:t>A.</w:t>
        <w:tab/>
        <w:t>Market Access Alerts</w:t>
      </w:r>
    </w:p>
    <w:p>
      <w:pPr>
        <w:pStyle w:val="Normal"/>
        <w:widowControl/>
        <w:suppressAutoHyphens w:val="true"/>
        <w:overflowPunct w:val="false"/>
        <w:bidi w:val="0"/>
        <w:spacing w:lineRule="auto" w:line="240" w:before="0" w:after="0"/>
        <w:ind w:hanging="0" w:left="0" w:right="0"/>
        <w:jc w:val="left"/>
        <w:rPr>
          <w:rFonts w:ascii="Arial" w:hAnsi="Arial" w:cs="Arial"/>
          <w:b/>
          <w:color w:val="000000"/>
          <w:sz w:val="18"/>
          <w:szCs w:val="18"/>
          <w:highlight w:val="none"/>
          <w:u w:val="single"/>
          <w:shd w:fill="auto" w:val="clear"/>
        </w:rPr>
      </w:pPr>
      <w:r>
        <w:rPr>
          <w:rFonts w:cs="Arial" w:ascii="Arial" w:hAnsi="Arial"/>
          <w:b/>
          <w:color w:val="000000"/>
          <w:sz w:val="18"/>
          <w:szCs w:val="18"/>
          <w:u w:val="single"/>
          <w:shd w:fill="auto" w:val="clear"/>
        </w:rPr>
      </w:r>
    </w:p>
    <w:p>
      <w:pPr>
        <w:pStyle w:val="Normal"/>
        <w:numPr>
          <w:ilvl w:val="0"/>
          <w:numId w:val="0"/>
        </w:numPr>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a. Alerts on customs tariff changes: -</w:t>
      </w:r>
    </w:p>
    <w:p>
      <w:pPr>
        <w:pStyle w:val="Normal"/>
        <w:numPr>
          <w:ilvl w:val="0"/>
          <w:numId w:val="0"/>
        </w:numPr>
        <w:bidi w:val="0"/>
        <w:spacing w:lineRule="auto" w:line="240" w:before="0" w:after="0"/>
        <w:ind w:hanging="0" w:left="0" w:right="0"/>
        <w:jc w:val="both"/>
        <w:rPr>
          <w:rFonts w:ascii="Arial" w:hAnsi="Arial"/>
          <w:sz w:val="18"/>
          <w:szCs w:val="18"/>
          <w:highlight w:val="none"/>
          <w:shd w:fill="auto" w:val="clear"/>
        </w:rPr>
      </w:pPr>
      <w:r>
        <w:rPr>
          <w:rFonts w:ascii="Arial" w:hAnsi="Arial"/>
          <w:sz w:val="18"/>
          <w:szCs w:val="18"/>
          <w:shd w:fill="auto" w:val="clear"/>
        </w:rPr>
      </w:r>
    </w:p>
    <w:tbl>
      <w:tblPr>
        <w:tblW w:w="10188" w:type="dxa"/>
        <w:jc w:val="left"/>
        <w:tblInd w:w="108" w:type="dxa"/>
        <w:tblLayout w:type="fixed"/>
        <w:tblCellMar>
          <w:top w:w="0" w:type="dxa"/>
          <w:left w:w="108" w:type="dxa"/>
          <w:bottom w:w="0" w:type="dxa"/>
          <w:right w:w="108" w:type="dxa"/>
        </w:tblCellMar>
      </w:tblPr>
      <w:tblGrid>
        <w:gridCol w:w="623"/>
        <w:gridCol w:w="1827"/>
        <w:gridCol w:w="1506"/>
        <w:gridCol w:w="1538"/>
        <w:gridCol w:w="1000"/>
        <w:gridCol w:w="1003"/>
        <w:gridCol w:w="1067"/>
        <w:gridCol w:w="965"/>
        <w:gridCol w:w="659"/>
      </w:tblGrid>
      <w:tr>
        <w:trPr>
          <w:trHeight w:val="750" w:hRule="atLeast"/>
        </w:trPr>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S. No.</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Notification no. and Date</w:t>
            </w:r>
          </w:p>
        </w:tc>
        <w:tc>
          <w:tcPr>
            <w:tcW w:w="15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HS Code</w:t>
            </w:r>
          </w:p>
        </w:tc>
        <w:tc>
          <w:tcPr>
            <w:tcW w:w="1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Description</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Original Customs Tariff</w:t>
            </w:r>
          </w:p>
        </w:tc>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Present Customs Tariff</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Effective from</w:t>
            </w:r>
          </w:p>
        </w:tc>
        <w:tc>
          <w:tcPr>
            <w:tcW w:w="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Remarks if any</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Upload notification (pdf only)</w:t>
            </w:r>
          </w:p>
        </w:tc>
      </w:tr>
      <w:tr>
        <w:trPr>
          <w:trHeight w:val="245" w:hRule="atLeast"/>
        </w:trPr>
        <w:tc>
          <w:tcPr>
            <w:tcW w:w="623" w:type="dxa"/>
            <w:tcBorders>
              <w:left w:val="single" w:sz="4" w:space="0" w:color="000000"/>
              <w:bottom w:val="single" w:sz="4" w:space="0" w:color="000000"/>
              <w:right w:val="single" w:sz="4" w:space="0" w:color="000000"/>
            </w:tcBorders>
          </w:tcPr>
          <w:p>
            <w:pPr>
              <w:pStyle w:val="Normal"/>
              <w:widowControl w:val="false"/>
              <w:numPr>
                <w:ilvl w:val="0"/>
                <w:numId w:val="1"/>
              </w:numPr>
              <w:bidi w:val="0"/>
              <w:spacing w:lineRule="auto" w:line="240" w:before="0" w:after="0"/>
              <w:ind w:hanging="0" w:left="0"/>
              <w:jc w:val="both"/>
              <w:rPr>
                <w:rFonts w:ascii="Arial" w:hAnsi="Arial" w:eastAsia="Calibri" w:cs="Times New Roman"/>
                <w:b w:val="false"/>
                <w:bCs w:val="false"/>
                <w:i w:val="false"/>
                <w:i w:val="false"/>
                <w:iCs w:val="false"/>
                <w:strike w:val="false"/>
                <w:dstrike w:val="false"/>
                <w:outline w:val="false"/>
                <w:shadow w:val="false"/>
                <w:color w:val="000000"/>
                <w:kern w:val="0"/>
                <w:sz w:val="18"/>
                <w:szCs w:val="18"/>
                <w:highlight w:val="none"/>
                <w:u w:val="none"/>
                <w:shd w:fill="auto" w:val="clear"/>
                <w:lang w:val="en-US" w:eastAsia="en-US" w:bidi="ar-SA"/>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r>
          </w:p>
        </w:tc>
        <w:tc>
          <w:tcPr>
            <w:tcW w:w="182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Press release by Ministry of Economic Development of Russia</w:t>
            </w:r>
          </w:p>
        </w:tc>
        <w:tc>
          <w:tcPr>
            <w:tcW w:w="150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271112</w:t>
            </w:r>
          </w:p>
        </w:tc>
        <w:tc>
          <w:tcPr>
            <w:tcW w:w="153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liquefied hydrocarbon gases (export duty)</w:t>
            </w:r>
          </w:p>
        </w:tc>
        <w:tc>
          <w:tcPr>
            <w:tcW w:w="100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130.2</w:t>
            </w:r>
          </w:p>
        </w:tc>
        <w:tc>
          <w:tcPr>
            <w:tcW w:w="1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69.5</w:t>
            </w:r>
          </w:p>
        </w:tc>
        <w:tc>
          <w:tcPr>
            <w:tcW w:w="10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01/07/2026 -31/07/2026</w:t>
            </w:r>
          </w:p>
        </w:tc>
        <w:tc>
          <w:tcPr>
            <w:tcW w:w="96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USD per 1000 kg</w:t>
            </w:r>
          </w:p>
        </w:tc>
        <w:tc>
          <w:tcPr>
            <w:tcW w:w="65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eastAsia="Calibri" w:cs="Times New Roman"/>
                <w:b w:val="false"/>
                <w:bCs w:val="false"/>
                <w:i w:val="false"/>
                <w:i w:val="false"/>
                <w:iCs w:val="false"/>
                <w:strike w:val="false"/>
                <w:dstrike w:val="false"/>
                <w:outline w:val="false"/>
                <w:shadow w:val="false"/>
                <w:color w:val="000000"/>
                <w:kern w:val="0"/>
                <w:sz w:val="18"/>
                <w:szCs w:val="18"/>
                <w:highlight w:val="none"/>
                <w:u w:val="none"/>
                <w:shd w:fill="auto" w:val="clear"/>
                <w:lang w:val="en-US" w:eastAsia="en-US" w:bidi="ar-SA"/>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r>
          </w:p>
        </w:tc>
      </w:tr>
      <w:tr>
        <w:trPr>
          <w:trHeight w:val="245" w:hRule="atLeast"/>
        </w:trPr>
        <w:tc>
          <w:tcPr>
            <w:tcW w:w="623" w:type="dxa"/>
            <w:tcBorders>
              <w:left w:val="single" w:sz="4" w:space="0" w:color="000000"/>
              <w:bottom w:val="single" w:sz="4" w:space="0" w:color="000000"/>
              <w:right w:val="single" w:sz="4" w:space="0" w:color="000000"/>
            </w:tcBorders>
          </w:tcPr>
          <w:p>
            <w:pPr>
              <w:pStyle w:val="Normal"/>
              <w:widowControl w:val="false"/>
              <w:numPr>
                <w:ilvl w:val="0"/>
                <w:numId w:val="1"/>
              </w:numPr>
              <w:bidi w:val="0"/>
              <w:spacing w:lineRule="auto" w:line="240" w:before="0" w:after="0"/>
              <w:ind w:hanging="0" w:left="0"/>
              <w:jc w:val="both"/>
              <w:rPr>
                <w:rFonts w:ascii="Arial" w:hAnsi="Arial" w:eastAsia="Calibri" w:cs="Times New Roman"/>
                <w:b w:val="false"/>
                <w:bCs w:val="false"/>
                <w:i w:val="false"/>
                <w:i w:val="false"/>
                <w:iCs w:val="false"/>
                <w:strike w:val="false"/>
                <w:dstrike w:val="false"/>
                <w:outline w:val="false"/>
                <w:shadow w:val="false"/>
                <w:color w:val="000000"/>
                <w:kern w:val="0"/>
                <w:sz w:val="18"/>
                <w:szCs w:val="18"/>
                <w:highlight w:val="none"/>
                <w:u w:val="none"/>
                <w:shd w:fill="auto" w:val="clear"/>
                <w:lang w:val="en-US" w:eastAsia="en-US" w:bidi="ar-SA"/>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r>
          </w:p>
        </w:tc>
        <w:tc>
          <w:tcPr>
            <w:tcW w:w="182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Press release by Ministry of Economic Development of Russia</w:t>
            </w:r>
          </w:p>
        </w:tc>
        <w:tc>
          <w:tcPr>
            <w:tcW w:w="150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271012</w:t>
            </w:r>
          </w:p>
        </w:tc>
        <w:tc>
          <w:tcPr>
            <w:tcW w:w="153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oil and other goods produced from oil (export duty)</w:t>
            </w:r>
          </w:p>
        </w:tc>
        <w:tc>
          <w:tcPr>
            <w:tcW w:w="100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0</w:t>
            </w:r>
          </w:p>
        </w:tc>
        <w:tc>
          <w:tcPr>
            <w:tcW w:w="1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0</w:t>
            </w:r>
          </w:p>
        </w:tc>
        <w:tc>
          <w:tcPr>
            <w:tcW w:w="10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01/07/2026 -31/07/2026</w:t>
            </w:r>
          </w:p>
        </w:tc>
        <w:tc>
          <w:tcPr>
            <w:tcW w:w="96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t>USD per 1000 kg</w:t>
            </w:r>
          </w:p>
        </w:tc>
        <w:tc>
          <w:tcPr>
            <w:tcW w:w="65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eastAsia="Calibri" w:cs="Times New Roman"/>
                <w:b w:val="false"/>
                <w:bCs w:val="false"/>
                <w:i w:val="false"/>
                <w:i w:val="false"/>
                <w:iCs w:val="false"/>
                <w:strike w:val="false"/>
                <w:dstrike w:val="false"/>
                <w:outline w:val="false"/>
                <w:shadow w:val="false"/>
                <w:color w:val="000000"/>
                <w:kern w:val="0"/>
                <w:sz w:val="18"/>
                <w:szCs w:val="18"/>
                <w:highlight w:val="none"/>
                <w:u w:val="none"/>
                <w:shd w:fill="auto" w:val="clear"/>
                <w:lang w:val="en-US" w:eastAsia="en-US" w:bidi="ar-SA"/>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r>
          </w:p>
        </w:tc>
      </w:tr>
      <w:tr>
        <w:trPr>
          <w:trHeight w:val="471" w:hRule="atLeast"/>
        </w:trPr>
        <w:tc>
          <w:tcPr>
            <w:tcW w:w="623" w:type="dxa"/>
            <w:tcBorders>
              <w:left w:val="single" w:sz="4" w:space="0" w:color="000000"/>
              <w:bottom w:val="single" w:sz="4" w:space="0" w:color="000000"/>
              <w:right w:val="single" w:sz="4" w:space="0" w:color="000000"/>
            </w:tcBorders>
          </w:tcPr>
          <w:p>
            <w:pPr>
              <w:pStyle w:val="Normal"/>
              <w:widowControl w:val="false"/>
              <w:numPr>
                <w:ilvl w:val="0"/>
                <w:numId w:val="1"/>
              </w:numPr>
              <w:bidi w:val="0"/>
              <w:spacing w:lineRule="auto" w:line="240" w:before="0" w:after="0"/>
              <w:ind w:hanging="0" w:left="0"/>
              <w:jc w:val="both"/>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c>
          <w:tcPr>
            <w:tcW w:w="182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Press release by Ministry of Economic Development of Russia</w:t>
            </w:r>
          </w:p>
        </w:tc>
        <w:tc>
          <w:tcPr>
            <w:tcW w:w="150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290110</w:t>
            </w:r>
          </w:p>
        </w:tc>
        <w:tc>
          <w:tcPr>
            <w:tcW w:w="153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ethane</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butane</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isobutane (export duty)</w:t>
            </w:r>
          </w:p>
        </w:tc>
        <w:tc>
          <w:tcPr>
            <w:tcW w:w="100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117.1</w:t>
            </w:r>
          </w:p>
        </w:tc>
        <w:tc>
          <w:tcPr>
            <w:tcW w:w="1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62.5</w:t>
            </w:r>
          </w:p>
        </w:tc>
        <w:tc>
          <w:tcPr>
            <w:tcW w:w="10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01/07/2026 -31/07/2026</w:t>
            </w:r>
          </w:p>
        </w:tc>
        <w:tc>
          <w:tcPr>
            <w:tcW w:w="96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USD per 1000 kg</w:t>
            </w:r>
          </w:p>
        </w:tc>
        <w:tc>
          <w:tcPr>
            <w:tcW w:w="65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r>
      <w:tr>
        <w:trPr>
          <w:trHeight w:val="471" w:hRule="atLeast"/>
        </w:trPr>
        <w:tc>
          <w:tcPr>
            <w:tcW w:w="623" w:type="dxa"/>
            <w:tcBorders>
              <w:left w:val="single" w:sz="4" w:space="0" w:color="000000"/>
              <w:bottom w:val="single" w:sz="4" w:space="0" w:color="000000"/>
              <w:right w:val="single" w:sz="4" w:space="0" w:color="000000"/>
            </w:tcBorders>
          </w:tcPr>
          <w:p>
            <w:pPr>
              <w:pStyle w:val="Normal"/>
              <w:widowControl w:val="false"/>
              <w:numPr>
                <w:ilvl w:val="0"/>
                <w:numId w:val="1"/>
              </w:numPr>
              <w:bidi w:val="0"/>
              <w:spacing w:lineRule="auto" w:line="240" w:before="0" w:after="0"/>
              <w:ind w:hanging="0" w:left="0"/>
              <w:jc w:val="both"/>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c>
          <w:tcPr>
            <w:tcW w:w="182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Decision of the Board of the Eurasian Economic Commission dated May 12, 2026 No. 53</w:t>
            </w:r>
          </w:p>
        </w:tc>
        <w:tc>
          <w:tcPr>
            <w:tcW w:w="150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8539 52 000 2,</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8539 52 000 3,</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8539 52 000 9</w:t>
            </w:r>
          </w:p>
        </w:tc>
        <w:tc>
          <w:tcPr>
            <w:tcW w:w="153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Until December 31, 2030 inclusive, import customs duties have been set at 5% for certain types of LED lamps</w:t>
            </w:r>
          </w:p>
        </w:tc>
        <w:tc>
          <w:tcPr>
            <w:tcW w:w="100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0%</w:t>
            </w:r>
          </w:p>
        </w:tc>
        <w:tc>
          <w:tcPr>
            <w:tcW w:w="1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5%</w:t>
            </w:r>
          </w:p>
        </w:tc>
        <w:tc>
          <w:tcPr>
            <w:tcW w:w="10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05/07/2026-</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31/12/2026</w:t>
            </w:r>
          </w:p>
        </w:tc>
        <w:tc>
          <w:tcPr>
            <w:tcW w:w="96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c>
          <w:tcPr>
            <w:tcW w:w="65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r>
      <w:tr>
        <w:trPr>
          <w:trHeight w:val="471" w:hRule="atLeast"/>
        </w:trPr>
        <w:tc>
          <w:tcPr>
            <w:tcW w:w="623" w:type="dxa"/>
            <w:tcBorders>
              <w:left w:val="single" w:sz="4" w:space="0" w:color="000000"/>
              <w:bottom w:val="single" w:sz="4" w:space="0" w:color="000000"/>
              <w:right w:val="single" w:sz="4" w:space="0" w:color="000000"/>
            </w:tcBorders>
          </w:tcPr>
          <w:p>
            <w:pPr>
              <w:pStyle w:val="Normal"/>
              <w:widowControl w:val="false"/>
              <w:numPr>
                <w:ilvl w:val="0"/>
                <w:numId w:val="1"/>
              </w:numPr>
              <w:bidi w:val="0"/>
              <w:spacing w:lineRule="auto" w:line="240" w:before="0" w:after="0"/>
              <w:ind w:hanging="0" w:left="0"/>
              <w:jc w:val="both"/>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c>
          <w:tcPr>
            <w:tcW w:w="182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Decision of the Board of the Eurasian Economic Commission dated May 20, 2026 No. 59</w:t>
            </w:r>
          </w:p>
        </w:tc>
        <w:tc>
          <w:tcPr>
            <w:tcW w:w="150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8802 40 003 5</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,8802 40 003 6</w:t>
            </w:r>
          </w:p>
        </w:tc>
        <w:tc>
          <w:tcPr>
            <w:tcW w:w="153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The period of exemption from import customs duties for certain civil passenger aircraft is extended until the end of 2036.</w:t>
            </w:r>
          </w:p>
        </w:tc>
        <w:tc>
          <w:tcPr>
            <w:tcW w:w="100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0%</w:t>
            </w:r>
          </w:p>
        </w:tc>
        <w:tc>
          <w:tcPr>
            <w:tcW w:w="1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0%</w:t>
            </w:r>
          </w:p>
        </w:tc>
        <w:tc>
          <w:tcPr>
            <w:tcW w:w="10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31/12/2031-</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31/12/2036</w:t>
            </w:r>
          </w:p>
        </w:tc>
        <w:tc>
          <w:tcPr>
            <w:tcW w:w="96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c>
          <w:tcPr>
            <w:tcW w:w="65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r>
      <w:tr>
        <w:trPr>
          <w:trHeight w:val="471" w:hRule="atLeast"/>
        </w:trPr>
        <w:tc>
          <w:tcPr>
            <w:tcW w:w="623" w:type="dxa"/>
            <w:tcBorders>
              <w:left w:val="single" w:sz="4" w:space="0" w:color="000000"/>
              <w:bottom w:val="single" w:sz="4" w:space="0" w:color="000000"/>
              <w:right w:val="single" w:sz="4" w:space="0" w:color="000000"/>
            </w:tcBorders>
          </w:tcPr>
          <w:p>
            <w:pPr>
              <w:pStyle w:val="Normal"/>
              <w:widowControl w:val="false"/>
              <w:numPr>
                <w:ilvl w:val="0"/>
                <w:numId w:val="1"/>
              </w:numPr>
              <w:bidi w:val="0"/>
              <w:spacing w:lineRule="auto" w:line="240" w:before="0" w:after="0"/>
              <w:ind w:hanging="0" w:left="0"/>
              <w:jc w:val="both"/>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c>
          <w:tcPr>
            <w:tcW w:w="182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Decision of the Board of the Eurasian Economic Commission dated July 1, 2026 No. 69</w:t>
            </w:r>
          </w:p>
        </w:tc>
        <w:tc>
          <w:tcPr>
            <w:tcW w:w="150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2710 12 411 0, 2710 12 412 0, 2710 12 413 0, 2710 12 419 0, 2710 12 450 0, 2710 12 490 0, 2710 12 510 0, 2710 12 590 0,</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2710 19 210 0,</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2710 19 421 0, 2710 19 422 0, 2710 19 423 0, 2710 19 424 0, 2710 19 425 0, 2710 19 426 0, 2710 19 429 0</w:t>
            </w:r>
          </w:p>
        </w:tc>
        <w:tc>
          <w:tcPr>
            <w:tcW w:w="153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From July 1, 2026 to June 30, 2027 inclusive, the zero rates of import customs duties on motor gasoline, jet fuel, diesel fuel, marine fuel and other gas oils have been extended.</w:t>
            </w:r>
          </w:p>
        </w:tc>
        <w:tc>
          <w:tcPr>
            <w:tcW w:w="100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0%</w:t>
            </w:r>
          </w:p>
        </w:tc>
        <w:tc>
          <w:tcPr>
            <w:tcW w:w="1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0%</w:t>
            </w:r>
          </w:p>
        </w:tc>
        <w:tc>
          <w:tcPr>
            <w:tcW w:w="10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01/07/2026-</w:t>
            </w:r>
          </w:p>
          <w:p>
            <w:pPr>
              <w:pStyle w:val="Normal"/>
              <w:widowControl w:val="false"/>
              <w:bidi w:val="0"/>
              <w:spacing w:lineRule="auto" w:line="240" w:before="0" w:after="0"/>
              <w:ind w:hanging="0" w:left="0" w:right="0"/>
              <w:jc w:val="left"/>
              <w:rPr>
                <w:rFonts w:ascii="Arial" w:hAnsi="Arial"/>
                <w:sz w:val="18"/>
                <w:szCs w:val="18"/>
              </w:rPr>
            </w:pPr>
            <w:r>
              <w:rPr>
                <w:rFonts w:ascii="Arial" w:hAnsi="Arial"/>
                <w:b w:val="false"/>
                <w:bCs w:val="false"/>
                <w:i w:val="false"/>
                <w:iCs w:val="false"/>
                <w:strike w:val="false"/>
                <w:dstrike w:val="false"/>
                <w:outline w:val="false"/>
                <w:shadow w:val="false"/>
                <w:color w:val="000000"/>
                <w:sz w:val="18"/>
                <w:szCs w:val="18"/>
                <w:u w:val="none"/>
                <w:shd w:fill="auto" w:val="clear"/>
              </w:rPr>
              <w:t>30/06/2027</w:t>
            </w:r>
          </w:p>
        </w:tc>
        <w:tc>
          <w:tcPr>
            <w:tcW w:w="96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c>
          <w:tcPr>
            <w:tcW w:w="65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b w:val="false"/>
                <w:bCs w:val="false"/>
                <w:i w:val="false"/>
                <w:i w:val="false"/>
                <w:iCs w:val="false"/>
                <w:strike w:val="false"/>
                <w:dstrike w:val="false"/>
                <w:outline w:val="false"/>
                <w:shadow w:val="false"/>
                <w:color w:val="000000"/>
                <w:sz w:val="18"/>
                <w:szCs w:val="18"/>
                <w:u w:val="none"/>
                <w:shd w:fill="auto" w:val="clear"/>
              </w:rPr>
            </w:pPr>
            <w:r>
              <w:rPr>
                <w:rFonts w:ascii="Arial" w:hAnsi="Arial"/>
                <w:b w:val="false"/>
                <w:bCs w:val="false"/>
                <w:i w:val="false"/>
                <w:iCs w:val="false"/>
                <w:strike w:val="false"/>
                <w:dstrike w:val="false"/>
                <w:outline w:val="false"/>
                <w:shadow w:val="false"/>
                <w:color w:val="000000"/>
                <w:sz w:val="18"/>
                <w:szCs w:val="18"/>
                <w:u w:val="none"/>
                <w:shd w:fill="auto" w:val="clear"/>
              </w:rPr>
            </w:r>
          </w:p>
        </w:tc>
      </w:tr>
      <w:tr>
        <w:trPr>
          <w:trHeight w:val="668" w:hRule="atLeast"/>
        </w:trPr>
        <w:tc>
          <w:tcPr>
            <w:tcW w:w="623" w:type="dxa"/>
            <w:tcBorders>
              <w:left w:val="single" w:sz="4" w:space="0" w:color="000000"/>
              <w:bottom w:val="single" w:sz="4" w:space="0" w:color="000000"/>
              <w:right w:val="single" w:sz="4" w:space="0" w:color="000000"/>
            </w:tcBorders>
          </w:tcPr>
          <w:p>
            <w:pPr>
              <w:pStyle w:val="Normal"/>
              <w:widowControl w:val="false"/>
              <w:numPr>
                <w:ilvl w:val="0"/>
                <w:numId w:val="1"/>
              </w:numPr>
              <w:bidi w:val="0"/>
              <w:spacing w:lineRule="auto" w:line="240" w:before="0" w:after="0"/>
              <w:ind w:hanging="0" w:left="0"/>
              <w:jc w:val="both"/>
              <w:rPr>
                <w:rFonts w:ascii="Arial" w:hAnsi="Arial" w:eastAsia="Calibri" w:cs="Times New Roman"/>
                <w:b w:val="false"/>
                <w:bCs w:val="false"/>
                <w:i w:val="false"/>
                <w:i w:val="false"/>
                <w:iCs w:val="false"/>
                <w:strike w:val="false"/>
                <w:dstrike w:val="false"/>
                <w:outline w:val="false"/>
                <w:shadow w:val="false"/>
                <w:color w:val="000000"/>
                <w:kern w:val="0"/>
                <w:sz w:val="18"/>
                <w:szCs w:val="18"/>
                <w:highlight w:val="none"/>
                <w:u w:val="none"/>
                <w:shd w:fill="auto" w:val="clear"/>
                <w:lang w:val="en-US" w:eastAsia="en-US" w:bidi="ar-SA"/>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r>
          </w:p>
        </w:tc>
        <w:tc>
          <w:tcPr>
            <w:tcW w:w="182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Press release by the Ministry of Agriculture of 25/06/2026</w:t>
            </w:r>
          </w:p>
        </w:tc>
        <w:tc>
          <w:tcPr>
            <w:tcW w:w="150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230630</w:t>
            </w:r>
          </w:p>
        </w:tc>
        <w:tc>
          <w:tcPr>
            <w:tcW w:w="153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Russia has extended zero export custom duties for sunflower meal.</w:t>
            </w:r>
          </w:p>
        </w:tc>
        <w:tc>
          <w:tcPr>
            <w:tcW w:w="100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0</w:t>
            </w:r>
          </w:p>
        </w:tc>
        <w:tc>
          <w:tcPr>
            <w:tcW w:w="1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0</w:t>
            </w:r>
          </w:p>
        </w:tc>
        <w:tc>
          <w:tcPr>
            <w:tcW w:w="10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01/07/2026</w:t>
            </w:r>
          </w:p>
        </w:tc>
        <w:tc>
          <w:tcPr>
            <w:tcW w:w="96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Rubles/MT</w:t>
            </w:r>
          </w:p>
        </w:tc>
        <w:tc>
          <w:tcPr>
            <w:tcW w:w="65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eastAsia="Calibri" w:cs="Times New Roman"/>
                <w:b w:val="false"/>
                <w:bCs w:val="false"/>
                <w:i w:val="false"/>
                <w:i w:val="false"/>
                <w:iCs w:val="false"/>
                <w:strike w:val="false"/>
                <w:dstrike w:val="false"/>
                <w:outline w:val="false"/>
                <w:shadow w:val="false"/>
                <w:color w:val="000000"/>
                <w:kern w:val="0"/>
                <w:sz w:val="18"/>
                <w:szCs w:val="18"/>
                <w:highlight w:val="none"/>
                <w:u w:val="none"/>
                <w:shd w:fill="auto" w:val="clear"/>
                <w:lang w:val="en-US" w:eastAsia="en-US" w:bidi="ar-SA"/>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r>
          </w:p>
        </w:tc>
      </w:tr>
      <w:tr>
        <w:trPr>
          <w:trHeight w:val="245" w:hRule="atLeast"/>
        </w:trPr>
        <w:tc>
          <w:tcPr>
            <w:tcW w:w="623" w:type="dxa"/>
            <w:tcBorders>
              <w:left w:val="single" w:sz="4" w:space="0" w:color="000000"/>
              <w:bottom w:val="single" w:sz="4" w:space="0" w:color="000000"/>
              <w:right w:val="single" w:sz="4" w:space="0" w:color="000000"/>
            </w:tcBorders>
          </w:tcPr>
          <w:p>
            <w:pPr>
              <w:pStyle w:val="Normal"/>
              <w:widowControl w:val="false"/>
              <w:numPr>
                <w:ilvl w:val="0"/>
                <w:numId w:val="1"/>
              </w:numPr>
              <w:bidi w:val="0"/>
              <w:spacing w:lineRule="auto" w:line="240" w:before="0" w:after="0"/>
              <w:ind w:hanging="0" w:left="0"/>
              <w:jc w:val="both"/>
              <w:rPr>
                <w:rFonts w:ascii="Arial" w:hAnsi="Arial" w:eastAsia="Calibri" w:cs="Times New Roman"/>
                <w:b w:val="false"/>
                <w:bCs w:val="false"/>
                <w:i w:val="false"/>
                <w:i w:val="false"/>
                <w:iCs w:val="false"/>
                <w:strike w:val="false"/>
                <w:dstrike w:val="false"/>
                <w:outline w:val="false"/>
                <w:shadow w:val="false"/>
                <w:color w:val="000000"/>
                <w:kern w:val="0"/>
                <w:sz w:val="18"/>
                <w:szCs w:val="18"/>
                <w:highlight w:val="none"/>
                <w:u w:val="none"/>
                <w:shd w:fill="auto" w:val="clear"/>
                <w:lang w:val="en-US" w:eastAsia="en-US" w:bidi="ar-SA"/>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r>
          </w:p>
        </w:tc>
        <w:tc>
          <w:tcPr>
            <w:tcW w:w="182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Press release by the Ministry of Agriculture of 25/06/2026</w:t>
            </w:r>
          </w:p>
        </w:tc>
        <w:tc>
          <w:tcPr>
            <w:tcW w:w="150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230630</w:t>
            </w:r>
          </w:p>
        </w:tc>
        <w:tc>
          <w:tcPr>
            <w:tcW w:w="153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Russia has increased custom duties for sunflower oil.</w:t>
            </w:r>
          </w:p>
        </w:tc>
        <w:tc>
          <w:tcPr>
            <w:tcW w:w="100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 xml:space="preserve"> </w:t>
            </w:r>
            <w:r>
              <w:rPr>
                <w:rFonts w:ascii="Arial" w:hAnsi="Arial"/>
                <w:color w:val="000000"/>
                <w:sz w:val="18"/>
                <w:szCs w:val="18"/>
              </w:rPr>
              <w:t>1 337.5</w:t>
            </w:r>
          </w:p>
        </w:tc>
        <w:tc>
          <w:tcPr>
            <w:tcW w:w="1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3294.2</w:t>
            </w:r>
          </w:p>
        </w:tc>
        <w:tc>
          <w:tcPr>
            <w:tcW w:w="10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01/07/2026</w:t>
            </w:r>
          </w:p>
        </w:tc>
        <w:tc>
          <w:tcPr>
            <w:tcW w:w="96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ascii="Arial" w:hAnsi="Arial"/>
                <w:color w:val="000000"/>
                <w:sz w:val="18"/>
                <w:szCs w:val="18"/>
              </w:rPr>
              <w:t>Rubles/MT</w:t>
            </w:r>
          </w:p>
        </w:tc>
        <w:tc>
          <w:tcPr>
            <w:tcW w:w="65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eastAsia="Calibri" w:cs="Times New Roman"/>
                <w:b w:val="false"/>
                <w:bCs w:val="false"/>
                <w:i w:val="false"/>
                <w:i w:val="false"/>
                <w:iCs w:val="false"/>
                <w:strike w:val="false"/>
                <w:dstrike w:val="false"/>
                <w:outline w:val="false"/>
                <w:shadow w:val="false"/>
                <w:color w:val="000000"/>
                <w:kern w:val="0"/>
                <w:sz w:val="18"/>
                <w:szCs w:val="18"/>
                <w:highlight w:val="none"/>
                <w:u w:val="none"/>
                <w:shd w:fill="auto" w:val="clear"/>
                <w:lang w:val="en-US" w:eastAsia="en-US" w:bidi="ar-SA"/>
              </w:rPr>
            </w:pPr>
            <w:r>
              <w:rPr>
                <w:rFonts w:eastAsia="Calibri" w:cs="Times New Roman" w:ascii="Arial" w:hAnsi="Arial"/>
                <w:b w:val="false"/>
                <w:bCs w:val="false"/>
                <w:i w:val="false"/>
                <w:iCs w:val="false"/>
                <w:strike w:val="false"/>
                <w:dstrike w:val="false"/>
                <w:outline w:val="false"/>
                <w:shadow w:val="false"/>
                <w:color w:val="000000"/>
                <w:kern w:val="0"/>
                <w:sz w:val="18"/>
                <w:szCs w:val="18"/>
                <w:u w:val="none"/>
                <w:shd w:fill="auto" w:val="clear"/>
                <w:lang w:val="en-US" w:eastAsia="en-US" w:bidi="ar-SA"/>
              </w:rPr>
            </w:r>
          </w:p>
        </w:tc>
      </w:tr>
    </w:tbl>
    <w:p>
      <w:pPr>
        <w:pStyle w:val="Normal"/>
        <w:numPr>
          <w:ilvl w:val="0"/>
          <w:numId w:val="0"/>
        </w:numPr>
        <w:bidi w:val="0"/>
        <w:spacing w:lineRule="auto" w:line="240" w:before="0" w:after="0"/>
        <w:ind w:hanging="0" w:left="0" w:right="0"/>
        <w:jc w:val="both"/>
        <w:rPr>
          <w:rFonts w:ascii="Arial" w:hAnsi="Arial"/>
          <w:sz w:val="18"/>
          <w:szCs w:val="18"/>
          <w:highlight w:val="none"/>
          <w:shd w:fill="auto" w:val="clear"/>
        </w:rPr>
      </w:pPr>
      <w:r>
        <w:rPr>
          <w:rFonts w:ascii="Arial" w:hAnsi="Arial"/>
          <w:sz w:val="18"/>
          <w:szCs w:val="18"/>
          <w:shd w:fill="auto" w:val="clear"/>
        </w:rPr>
      </w:r>
    </w:p>
    <w:tbl>
      <w:tblPr>
        <w:tblW w:w="9000" w:type="dxa"/>
        <w:jc w:val="left"/>
        <w:tblInd w:w="1116" w:type="dxa"/>
        <w:tblLayout w:type="fixed"/>
        <w:tblCellMar>
          <w:top w:w="0" w:type="dxa"/>
          <w:left w:w="108" w:type="dxa"/>
          <w:bottom w:w="0" w:type="dxa"/>
          <w:right w:w="108" w:type="dxa"/>
        </w:tblCellMar>
      </w:tblPr>
      <w:tblGrid>
        <w:gridCol w:w="1980"/>
        <w:gridCol w:w="7020"/>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pPr>
            <w:r>
              <w:rPr>
                <w:rFonts w:cs="Arial" w:ascii="Arial" w:hAnsi="Arial"/>
                <w:color w:val="000000"/>
                <w:kern w:val="0"/>
                <w:sz w:val="18"/>
                <w:szCs w:val="18"/>
                <w:u w:val="none"/>
                <w:shd w:fill="auto" w:val="clear"/>
                <w:lang w:eastAsia="en-US" w:bidi="ar-SA"/>
              </w:rPr>
              <w:t>“</w:t>
            </w:r>
            <w:r>
              <w:rPr>
                <w:rFonts w:cs="Arial" w:ascii="Arial" w:hAnsi="Arial"/>
                <w:color w:val="000000"/>
                <w:kern w:val="0"/>
                <w:sz w:val="18"/>
                <w:szCs w:val="18"/>
                <w:u w:val="none"/>
                <w:shd w:fill="auto" w:val="clear"/>
                <w:lang w:eastAsia="en-US" w:bidi="ar-SA"/>
              </w:rPr>
              <w:t xml:space="preserve">Consultant” </w:t>
            </w:r>
            <w:r>
              <w:rPr>
                <w:rStyle w:val="Hyperlink"/>
                <w:rFonts w:cs="Arial" w:ascii="Arial" w:hAnsi="Arial"/>
                <w:color w:val="000000"/>
                <w:kern w:val="0"/>
                <w:sz w:val="18"/>
                <w:szCs w:val="18"/>
                <w:u w:val="none"/>
                <w:shd w:fill="auto" w:val="clear"/>
                <w:lang w:eastAsia="en-US" w:bidi="ar-SA"/>
              </w:rPr>
              <w:t>database</w:t>
            </w:r>
          </w:p>
          <w:p>
            <w:pPr>
              <w:pStyle w:val="Normal"/>
              <w:widowControl w:val="false"/>
              <w:suppressAutoHyphens w:val="true"/>
              <w:bidi w:val="0"/>
              <w:spacing w:lineRule="auto" w:line="240" w:before="0" w:after="0"/>
              <w:ind w:hanging="0" w:left="0" w:right="0"/>
              <w:jc w:val="left"/>
              <w:rPr/>
            </w:pPr>
            <w:r>
              <w:rPr>
                <w:rStyle w:val="Hyperlink"/>
                <w:rFonts w:cs="Arial" w:ascii="Arial" w:hAnsi="Arial"/>
                <w:color w:val="000000"/>
                <w:kern w:val="0"/>
                <w:sz w:val="18"/>
                <w:szCs w:val="18"/>
                <w:u w:val="none"/>
                <w:shd w:fill="auto" w:val="clear"/>
                <w:lang w:eastAsia="en-US" w:bidi="ar-SA"/>
              </w:rPr>
              <w:t>https://www.consultant.ru/document/cons_doc_LAW_493607/</w:t>
            </w:r>
          </w:p>
          <w:p>
            <w:pPr>
              <w:pStyle w:val="Normal"/>
              <w:widowControl w:val="false"/>
              <w:suppressAutoHyphens w:val="true"/>
              <w:bidi w:val="0"/>
              <w:spacing w:lineRule="auto" w:line="240" w:before="0" w:after="0"/>
              <w:ind w:hanging="0" w:left="0" w:right="0"/>
              <w:jc w:val="left"/>
              <w:rPr/>
            </w:pPr>
            <w:r>
              <w:rPr>
                <w:rStyle w:val="Hyperlink"/>
                <w:rFonts w:cs="Arial" w:ascii="Arial" w:hAnsi="Arial"/>
                <w:color w:val="000000"/>
                <w:kern w:val="0"/>
                <w:sz w:val="18"/>
                <w:szCs w:val="18"/>
                <w:u w:val="none"/>
                <w:shd w:fill="auto" w:val="clear"/>
                <w:lang w:eastAsia="en-US" w:bidi="ar-SA"/>
              </w:rPr>
              <w:t>Ministry of Agriculture</w:t>
            </w:r>
          </w:p>
          <w:p>
            <w:pPr>
              <w:pStyle w:val="Normal"/>
              <w:widowControl w:val="false"/>
              <w:suppressAutoHyphens w:val="true"/>
              <w:bidi w:val="0"/>
              <w:spacing w:lineRule="auto" w:line="240" w:before="0" w:after="0"/>
              <w:ind w:hanging="0" w:left="0" w:right="0"/>
              <w:jc w:val="left"/>
              <w:rPr/>
            </w:pPr>
            <w:r>
              <w:rPr>
                <w:rStyle w:val="Hyperlink"/>
                <w:rFonts w:cs="Arial" w:ascii="Arial" w:hAnsi="Arial"/>
                <w:color w:val="000000"/>
                <w:kern w:val="0"/>
                <w:sz w:val="18"/>
                <w:szCs w:val="18"/>
                <w:u w:val="none"/>
                <w:shd w:fill="auto" w:val="clear"/>
                <w:lang w:eastAsia="en-US" w:bidi="ar-SA"/>
              </w:rPr>
              <w:t>https://mcx.gov.ru/ministry/departments/departament-ekonomiki-investitsiy-i-regulirovaniya-rynkov/industry-information/info-shrot-podsolnechnyy/</w:t>
            </w:r>
          </w:p>
          <w:p>
            <w:pPr>
              <w:pStyle w:val="Normal"/>
              <w:widowControl w:val="false"/>
              <w:suppressAutoHyphens w:val="true"/>
              <w:bidi w:val="0"/>
              <w:spacing w:lineRule="auto" w:line="240" w:before="0" w:after="0"/>
              <w:ind w:hanging="0" w:left="0" w:right="0"/>
              <w:jc w:val="left"/>
              <w:rPr/>
            </w:pPr>
            <w:r>
              <w:rPr>
                <w:rStyle w:val="Hyperlink"/>
                <w:rFonts w:cs="Arial" w:ascii="Arial" w:hAnsi="Arial"/>
                <w:color w:val="000000"/>
                <w:kern w:val="0"/>
                <w:sz w:val="18"/>
                <w:szCs w:val="18"/>
                <w:u w:val="none"/>
                <w:shd w:fill="auto" w:val="clear"/>
                <w:lang w:eastAsia="en-US" w:bidi="ar-SA"/>
              </w:rPr>
              <w:t>https://mcx.gov.ru/ministry/departments/departament-ekonomiki-investitsiy-i-regulirovaniya-rynkov/industry-information/info-maslo-podsolnechnoe4517/</w:t>
            </w:r>
          </w:p>
        </w:tc>
      </w:tr>
    </w:tbl>
    <w:p>
      <w:pPr>
        <w:pStyle w:val="Normal"/>
        <w:numPr>
          <w:ilvl w:val="0"/>
          <w:numId w:val="0"/>
        </w:numPr>
        <w:bidi w:val="0"/>
        <w:spacing w:lineRule="auto" w:line="240" w:before="0" w:after="0"/>
        <w:ind w:hanging="0" w:left="0" w:right="0"/>
        <w:jc w:val="both"/>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b. Alerts on non-tariff measures (SPS/TBT/ import and export procedures/ restrictions/ prohibitions, licensing/ STEs etc.)</w:t>
      </w:r>
    </w:p>
    <w:p>
      <w:pPr>
        <w:pStyle w:val="Normal"/>
        <w:numPr>
          <w:ilvl w:val="0"/>
          <w:numId w:val="0"/>
        </w:numPr>
        <w:bidi w:val="0"/>
        <w:spacing w:lineRule="auto" w:line="240" w:before="0" w:after="0"/>
        <w:ind w:hanging="0" w:left="0" w:right="0"/>
        <w:jc w:val="both"/>
        <w:rPr>
          <w:rFonts w:ascii="Arial" w:hAnsi="Arial"/>
          <w:sz w:val="18"/>
          <w:szCs w:val="18"/>
          <w:highlight w:val="none"/>
          <w:shd w:fill="auto" w:val="clear"/>
        </w:rPr>
      </w:pPr>
      <w:r>
        <w:rPr>
          <w:rFonts w:ascii="Arial" w:hAnsi="Arial"/>
          <w:sz w:val="18"/>
          <w:szCs w:val="18"/>
          <w:shd w:fill="auto" w:val="clear"/>
        </w:rPr>
      </w:r>
    </w:p>
    <w:tbl>
      <w:tblPr>
        <w:tblW w:w="10030" w:type="dxa"/>
        <w:jc w:val="left"/>
        <w:tblInd w:w="116" w:type="dxa"/>
        <w:tblLayout w:type="fixed"/>
        <w:tblCellMar>
          <w:top w:w="0" w:type="dxa"/>
          <w:left w:w="108" w:type="dxa"/>
          <w:bottom w:w="0" w:type="dxa"/>
          <w:right w:w="108" w:type="dxa"/>
        </w:tblCellMar>
      </w:tblPr>
      <w:tblGrid>
        <w:gridCol w:w="586"/>
        <w:gridCol w:w="2222"/>
        <w:gridCol w:w="4317"/>
        <w:gridCol w:w="814"/>
        <w:gridCol w:w="1255"/>
        <w:gridCol w:w="836"/>
      </w:tblGrid>
      <w:tr>
        <w:trPr>
          <w:trHeight w:val="454" w:hRule="atLeast"/>
        </w:trPr>
        <w:tc>
          <w:tcPr>
            <w:tcW w:w="5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S. No</w:t>
            </w:r>
          </w:p>
        </w:tc>
        <w:tc>
          <w:tcPr>
            <w:tcW w:w="22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Notification no./ date</w:t>
            </w:r>
          </w:p>
        </w:tc>
        <w:tc>
          <w:tcPr>
            <w:tcW w:w="4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Measure</w:t>
            </w:r>
          </w:p>
        </w:tc>
        <w:tc>
          <w:tcPr>
            <w:tcW w:w="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HS Codes</w:t>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Effective from</w:t>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Remarks if any</w:t>
            </w:r>
          </w:p>
        </w:tc>
      </w:tr>
      <w:tr>
        <w:trPr>
          <w:trHeight w:val="454" w:hRule="atLeast"/>
        </w:trPr>
        <w:tc>
          <w:tcPr>
            <w:tcW w:w="58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1</w:t>
            </w:r>
          </w:p>
        </w:tc>
        <w:tc>
          <w:tcPr>
            <w:tcW w:w="222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w:t>
            </w:r>
            <w:r>
              <w:rPr>
                <w:rFonts w:cs="Arial" w:ascii="Arial" w:hAnsi="Arial"/>
                <w:b w:val="false"/>
                <w:bCs w:val="false"/>
                <w:color w:val="000000"/>
                <w:sz w:val="18"/>
                <w:szCs w:val="18"/>
                <w:u w:val="none"/>
                <w:shd w:fill="auto" w:val="clear"/>
              </w:rPr>
              <w:t>FS-ARv-7/7371-3 of 15.07.2026</w:t>
            </w:r>
          </w:p>
        </w:tc>
        <w:tc>
          <w:tcPr>
            <w:tcW w:w="43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FSVPS introduced temporary restrictions on imports of bovine meat from</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M/s. Fair Exports (India) Pvt. Ltd.,</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due to Ivermectin detected</w:t>
            </w:r>
          </w:p>
        </w:tc>
        <w:tc>
          <w:tcPr>
            <w:tcW w:w="81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02</w:t>
            </w:r>
          </w:p>
        </w:tc>
        <w:tc>
          <w:tcPr>
            <w:tcW w:w="125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15/07/2026</w:t>
            </w:r>
          </w:p>
        </w:tc>
        <w:tc>
          <w:tcPr>
            <w:tcW w:w="83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cs="Arial"/>
                <w:b w:val="false"/>
                <w:bCs w:val="false"/>
                <w:color w:val="000000"/>
                <w:sz w:val="18"/>
                <w:szCs w:val="18"/>
                <w:u w:val="none"/>
                <w:shd w:fill="auto" w:val="clear"/>
              </w:rPr>
            </w:pPr>
            <w:r>
              <w:rPr>
                <w:rFonts w:cs="Arial" w:ascii="Arial" w:hAnsi="Arial"/>
                <w:b w:val="false"/>
                <w:bCs w:val="false"/>
                <w:color w:val="000000"/>
                <w:sz w:val="18"/>
                <w:szCs w:val="18"/>
                <w:u w:val="none"/>
                <w:shd w:fill="auto" w:val="clear"/>
              </w:rPr>
            </w:r>
          </w:p>
        </w:tc>
      </w:tr>
      <w:tr>
        <w:trPr>
          <w:trHeight w:val="454" w:hRule="atLeast"/>
        </w:trPr>
        <w:tc>
          <w:tcPr>
            <w:tcW w:w="58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2</w:t>
            </w:r>
          </w:p>
        </w:tc>
        <w:tc>
          <w:tcPr>
            <w:tcW w:w="222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w:t>
            </w:r>
            <w:r>
              <w:rPr>
                <w:rFonts w:cs="Arial" w:ascii="Arial" w:hAnsi="Arial"/>
                <w:b w:val="false"/>
                <w:bCs w:val="false"/>
                <w:color w:val="000000"/>
                <w:sz w:val="18"/>
                <w:szCs w:val="18"/>
                <w:u w:val="none"/>
                <w:shd w:fill="auto" w:val="clear"/>
              </w:rPr>
              <w:t>FS-KS-7/13892 of 15.07.2026</w:t>
            </w:r>
          </w:p>
        </w:tc>
        <w:tc>
          <w:tcPr>
            <w:tcW w:w="43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FSVPS introduced strengthened control in relation to seafood products from</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Protech Organo Foods Pvt.Ltd,,</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Grand Marine Foods,</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Vkm Foods Private Limited,</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Veerabhadra Exports Private Limited</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Danica Aqua Exports Private Limited</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Rizwan Ice &amp;Cold Storage Unit II,</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LNSK Green House Agro Products LLP,</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Devi Fisheries Limited, UNIT-6,</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as result of inspection conducted in October 2025</w:t>
            </w:r>
          </w:p>
        </w:tc>
        <w:tc>
          <w:tcPr>
            <w:tcW w:w="81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03</w:t>
            </w:r>
          </w:p>
        </w:tc>
        <w:tc>
          <w:tcPr>
            <w:tcW w:w="125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15/07/2026</w:t>
            </w:r>
          </w:p>
        </w:tc>
        <w:tc>
          <w:tcPr>
            <w:tcW w:w="83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cs="Arial"/>
                <w:b w:val="false"/>
                <w:bCs w:val="false"/>
                <w:color w:val="000000"/>
                <w:sz w:val="18"/>
                <w:szCs w:val="18"/>
                <w:u w:val="none"/>
                <w:shd w:fill="auto" w:val="clear"/>
              </w:rPr>
            </w:pPr>
            <w:r>
              <w:rPr>
                <w:rFonts w:cs="Arial" w:ascii="Arial" w:hAnsi="Arial"/>
                <w:b w:val="false"/>
                <w:bCs w:val="false"/>
                <w:color w:val="000000"/>
                <w:sz w:val="18"/>
                <w:szCs w:val="18"/>
                <w:u w:val="none"/>
                <w:shd w:fill="auto" w:val="clear"/>
              </w:rPr>
            </w:r>
          </w:p>
        </w:tc>
      </w:tr>
      <w:tr>
        <w:trPr>
          <w:trHeight w:val="454" w:hRule="atLeast"/>
        </w:trPr>
        <w:tc>
          <w:tcPr>
            <w:tcW w:w="58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3</w:t>
            </w:r>
          </w:p>
        </w:tc>
        <w:tc>
          <w:tcPr>
            <w:tcW w:w="222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pPr>
            <w:hyperlink r:id="rId2" w:tgtFrame="_blank">
              <w:r>
                <w:rPr>
                  <w:rStyle w:val="Hyperlink"/>
                  <w:rFonts w:cs="Arial" w:ascii="Arial" w:hAnsi="Arial"/>
                  <w:b w:val="false"/>
                  <w:bCs w:val="false"/>
                  <w:color w:val="000000"/>
                  <w:sz w:val="18"/>
                  <w:szCs w:val="18"/>
                  <w:u w:val="none"/>
                  <w:shd w:fill="auto" w:val="clear"/>
                </w:rPr>
                <w:t>№</w:t>
              </w:r>
              <w:r>
                <w:rPr>
                  <w:rStyle w:val="Hyperlink"/>
                  <w:rFonts w:cs="Arial" w:ascii="Arial" w:hAnsi="Arial"/>
                  <w:b w:val="false"/>
                  <w:bCs w:val="false"/>
                  <w:color w:val="000000"/>
                  <w:sz w:val="18"/>
                  <w:szCs w:val="18"/>
                  <w:u w:val="none"/>
                  <w:shd w:fill="auto" w:val="clear"/>
                </w:rPr>
                <w:t>FS-KS-7/13871 of 15.07.2026</w:t>
              </w:r>
            </w:hyperlink>
          </w:p>
        </w:tc>
        <w:tc>
          <w:tcPr>
            <w:tcW w:w="43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FSVPS introduced strengthened control in relation to seafood products from</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Castlerock fisheries Pvt. Ltd., Unit-III,</w:t>
            </w:r>
          </w:p>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Due to multiple cases of detection of forbidden substances.</w:t>
            </w:r>
          </w:p>
        </w:tc>
        <w:tc>
          <w:tcPr>
            <w:tcW w:w="81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03</w:t>
            </w:r>
          </w:p>
        </w:tc>
        <w:tc>
          <w:tcPr>
            <w:tcW w:w="125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b w:val="false"/>
                <w:bCs w:val="false"/>
                <w:color w:val="000000"/>
                <w:sz w:val="18"/>
                <w:szCs w:val="18"/>
                <w:u w:val="none"/>
                <w:shd w:fill="auto" w:val="clear"/>
              </w:rPr>
              <w:t>15/07/2026</w:t>
            </w:r>
          </w:p>
        </w:tc>
        <w:tc>
          <w:tcPr>
            <w:tcW w:w="83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cs="Arial"/>
                <w:b w:val="false"/>
                <w:bCs w:val="false"/>
                <w:color w:val="000000"/>
                <w:sz w:val="18"/>
                <w:szCs w:val="18"/>
                <w:u w:val="none"/>
                <w:shd w:fill="auto" w:val="clear"/>
              </w:rPr>
            </w:pPr>
            <w:r>
              <w:rPr>
                <w:rFonts w:cs="Arial" w:ascii="Arial" w:hAnsi="Arial"/>
                <w:b w:val="false"/>
                <w:bCs w:val="false"/>
                <w:color w:val="000000"/>
                <w:sz w:val="18"/>
                <w:szCs w:val="18"/>
                <w:u w:val="none"/>
                <w:shd w:fill="auto" w:val="clear"/>
              </w:rPr>
            </w:r>
          </w:p>
        </w:tc>
      </w:tr>
    </w:tbl>
    <w:p>
      <w:pPr>
        <w:pStyle w:val="Normal"/>
        <w:numPr>
          <w:ilvl w:val="0"/>
          <w:numId w:val="0"/>
        </w:numPr>
        <w:bidi w:val="0"/>
        <w:spacing w:lineRule="auto" w:line="240" w:before="0" w:after="0"/>
        <w:ind w:hanging="0" w:left="0" w:right="0"/>
        <w:jc w:val="both"/>
        <w:rPr>
          <w:rFonts w:ascii="Arial" w:hAnsi="Arial"/>
          <w:sz w:val="18"/>
          <w:szCs w:val="18"/>
          <w:highlight w:val="none"/>
          <w:shd w:fill="auto" w:val="clear"/>
        </w:rPr>
      </w:pPr>
      <w:r>
        <w:rPr>
          <w:rFonts w:ascii="Arial" w:hAnsi="Arial"/>
          <w:sz w:val="18"/>
          <w:szCs w:val="18"/>
          <w:shd w:fill="auto" w:val="clear"/>
        </w:rPr>
      </w:r>
    </w:p>
    <w:tbl>
      <w:tblPr>
        <w:tblW w:w="9090" w:type="dxa"/>
        <w:jc w:val="left"/>
        <w:tblInd w:w="1116" w:type="dxa"/>
        <w:tblLayout w:type="fixed"/>
        <w:tblCellMar>
          <w:top w:w="0" w:type="dxa"/>
          <w:left w:w="108" w:type="dxa"/>
          <w:bottom w:w="0" w:type="dxa"/>
          <w:right w:w="108" w:type="dxa"/>
        </w:tblCellMar>
      </w:tblPr>
      <w:tblGrid>
        <w:gridCol w:w="1977"/>
        <w:gridCol w:w="7113"/>
      </w:tblGrid>
      <w:tr>
        <w:trPr>
          <w:trHeight w:val="563" w:hRule="atLeast"/>
        </w:trPr>
        <w:tc>
          <w:tcPr>
            <w:tcW w:w="1977"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1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FSVPS website</w:t>
            </w:r>
          </w:p>
          <w:p>
            <w:pPr>
              <w:pStyle w:val="Normal"/>
              <w:widowControl w:val="false"/>
              <w:suppressAutoHyphens w:val="true"/>
              <w:bidi w:val="0"/>
              <w:spacing w:lineRule="auto" w:line="240" w:before="0" w:after="0"/>
              <w:ind w:hanging="0" w:left="0" w:right="0"/>
              <w:jc w:val="left"/>
              <w:rPr/>
            </w:pPr>
            <w:r>
              <w:rPr>
                <w:rStyle w:val="Hyperlink"/>
                <w:rFonts w:cs="Arial" w:ascii="Arial" w:hAnsi="Arial"/>
                <w:color w:val="000000"/>
                <w:kern w:val="0"/>
                <w:sz w:val="18"/>
                <w:szCs w:val="18"/>
                <w:shd w:fill="auto" w:val="clear"/>
                <w:lang w:eastAsia="en-US" w:bidi="ar-SA"/>
              </w:rPr>
              <w:t>https://navigator.fsvps.gov.ru/trafficking/registry/index?countryId=99</w:t>
            </w:r>
          </w:p>
        </w:tc>
      </w:tr>
    </w:tbl>
    <w:p>
      <w:pPr>
        <w:pStyle w:val="Normal"/>
        <w:numPr>
          <w:ilvl w:val="0"/>
          <w:numId w:val="0"/>
        </w:numPr>
        <w:bidi w:val="0"/>
        <w:spacing w:lineRule="auto" w:line="240" w:before="0" w:after="0"/>
        <w:ind w:hanging="0" w:left="0" w:right="0"/>
        <w:jc w:val="both"/>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c. Alerts on standards, Technical regulations and Conformity assessment procedures:</w:t>
      </w:r>
    </w:p>
    <w:p>
      <w:pPr>
        <w:pStyle w:val="Normal"/>
        <w:numPr>
          <w:ilvl w:val="0"/>
          <w:numId w:val="0"/>
        </w:numPr>
        <w:bidi w:val="0"/>
        <w:spacing w:lineRule="auto" w:line="240" w:before="0" w:after="0"/>
        <w:ind w:hanging="0" w:left="0" w:right="0"/>
        <w:jc w:val="both"/>
        <w:rPr>
          <w:rFonts w:ascii="Arial" w:hAnsi="Arial"/>
          <w:sz w:val="18"/>
          <w:szCs w:val="18"/>
          <w:highlight w:val="none"/>
          <w:shd w:fill="auto" w:val="clear"/>
        </w:rPr>
      </w:pPr>
      <w:r>
        <w:rPr>
          <w:rFonts w:ascii="Arial" w:hAnsi="Arial"/>
          <w:sz w:val="18"/>
          <w:szCs w:val="18"/>
          <w:shd w:fill="auto" w:val="clear"/>
        </w:rPr>
      </w:r>
    </w:p>
    <w:tbl>
      <w:tblPr>
        <w:tblW w:w="10208" w:type="dxa"/>
        <w:jc w:val="left"/>
        <w:tblInd w:w="55" w:type="dxa"/>
        <w:tblLayout w:type="fixed"/>
        <w:tblCellMar>
          <w:top w:w="55" w:type="dxa"/>
          <w:left w:w="55" w:type="dxa"/>
          <w:bottom w:w="55" w:type="dxa"/>
          <w:right w:w="55" w:type="dxa"/>
        </w:tblCellMar>
      </w:tblPr>
      <w:tblGrid>
        <w:gridCol w:w="458"/>
        <w:gridCol w:w="1850"/>
        <w:gridCol w:w="3956"/>
        <w:gridCol w:w="719"/>
        <w:gridCol w:w="1175"/>
        <w:gridCol w:w="2050"/>
      </w:tblGrid>
      <w:tr>
        <w:trPr>
          <w:tblHeader w:val="true"/>
        </w:trPr>
        <w:tc>
          <w:tcPr>
            <w:tcW w:w="458" w:type="dxa"/>
            <w:tcBorders>
              <w:top w:val="single" w:sz="4" w:space="0" w:color="000000"/>
              <w:left w:val="single" w:sz="4" w:space="0" w:color="000000"/>
              <w:bottom w:val="single" w:sz="4" w:space="0" w:color="000000"/>
            </w:tcBorders>
            <w:vAlign w:val="center"/>
          </w:tcPr>
          <w:p>
            <w:pPr>
              <w:pStyle w:val="TableHeading"/>
              <w:widowControl w:val="false"/>
              <w:bidi w:val="0"/>
              <w:spacing w:lineRule="auto" w:line="240" w:before="0" w:after="0"/>
              <w:ind w:hanging="0" w:left="0" w:right="0"/>
              <w:rPr>
                <w:rFonts w:ascii="Arial" w:hAnsi="Arial"/>
                <w:sz w:val="18"/>
                <w:szCs w:val="18"/>
              </w:rPr>
            </w:pPr>
            <w:r>
              <w:rPr>
                <w:rFonts w:ascii="Arial" w:hAnsi="Arial"/>
                <w:sz w:val="18"/>
                <w:szCs w:val="18"/>
              </w:rPr>
              <w:t>SN</w:t>
            </w:r>
          </w:p>
        </w:tc>
        <w:tc>
          <w:tcPr>
            <w:tcW w:w="1850"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u w:val="none"/>
                <w:shd w:fill="auto" w:val="clear"/>
              </w:rPr>
              <w:t>Notification no./ date</w:t>
            </w:r>
          </w:p>
        </w:tc>
        <w:tc>
          <w:tcPr>
            <w:tcW w:w="3956"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u w:val="none"/>
                <w:shd w:fill="auto" w:val="clear"/>
              </w:rPr>
              <w:t>Standard/ Technical regulation/ Conformity assessment procedure</w:t>
            </w:r>
          </w:p>
        </w:tc>
        <w:tc>
          <w:tcPr>
            <w:tcW w:w="719"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u w:val="none"/>
                <w:shd w:fill="auto" w:val="clear"/>
              </w:rPr>
              <w:t>HS Codes</w:t>
            </w:r>
          </w:p>
        </w:tc>
        <w:tc>
          <w:tcPr>
            <w:tcW w:w="1175"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u w:val="none"/>
                <w:shd w:fill="auto" w:val="clear"/>
              </w:rPr>
              <w:t>Effective from</w:t>
            </w:r>
          </w:p>
        </w:tc>
        <w:tc>
          <w:tcPr>
            <w:tcW w:w="20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u w:val="none"/>
                <w:shd w:fill="auto" w:val="clear"/>
              </w:rPr>
              <w:t>Remarks if any</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19.11.2025,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1419-st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72390-2025.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Tank containers for cooled liquefied gases. General technical conditions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7311</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12.03.2026,</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214-st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72572-2026.</w:t>
            </w:r>
          </w:p>
          <w:p>
            <w:pPr>
              <w:pStyle w:val="TableContents"/>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shd w:fill="auto" w:val="clear"/>
              </w:rPr>
              <w:t>Mining equipment. Steel drill pipes for core barrel rigs. General specifications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7304</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07.10.2025,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1162-st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Conformity assessment procedure</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50.04.01-2025.</w:t>
            </w:r>
          </w:p>
          <w:p>
            <w:pPr>
              <w:pStyle w:val="TableContents"/>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shd w:fill="auto" w:val="clear"/>
              </w:rPr>
              <w:t>Conformity assessment system for the use of nuclear energy. Conformity assessment in the form of testing. Qualification testing procedure</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27.03.2026,</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281-st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72578-2026.</w:t>
            </w:r>
          </w:p>
          <w:p>
            <w:pPr>
              <w:pStyle w:val="TableContents"/>
              <w:bidi w:val="0"/>
              <w:spacing w:lineRule="auto" w:line="240" w:before="0" w:after="0"/>
              <w:ind w:hanging="0" w:left="0" w:right="0"/>
              <w:jc w:val="left"/>
              <w:rPr>
                <w:rFonts w:ascii="Arial" w:hAnsi="Arial"/>
                <w:sz w:val="18"/>
                <w:szCs w:val="18"/>
              </w:rPr>
            </w:pPr>
            <w:r>
              <w:rPr>
                <w:rFonts w:ascii="Arial" w:hAnsi="Arial"/>
                <w:b w:val="false"/>
                <w:i w:val="false"/>
                <w:iCs w:val="false"/>
                <w:color w:val="000000"/>
                <w:spacing w:val="0"/>
                <w:sz w:val="18"/>
                <w:szCs w:val="18"/>
                <w:shd w:fill="auto" w:val="clear"/>
              </w:rPr>
              <w:t>Rolled plates of alloy heat-resistant steel grade 10X2M1 for welded vessels and apparatus manufacturing for service at elevated temperatures and pressures. Specifications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7225</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25.03.2026,</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270-st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Technical regulation</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70400.11-2026.</w:t>
            </w:r>
          </w:p>
          <w:p>
            <w:pPr>
              <w:pStyle w:val="TableContents"/>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z w:val="18"/>
                <w:szCs w:val="18"/>
                <w:shd w:fill="auto" w:val="clear"/>
              </w:rPr>
              <w:t>Ammunition and special chemistry industry Non-explosive means of initiating charges. General technical requirements</w:t>
            </w:r>
          </w:p>
          <w:p>
            <w:pPr>
              <w:pStyle w:val="TableContents"/>
              <w:bidi w:val="0"/>
              <w:spacing w:lineRule="auto" w:line="240" w:before="0" w:after="0"/>
              <w:ind w:hanging="0" w:left="0" w:right="0"/>
              <w:jc w:val="left"/>
              <w:rPr>
                <w:rFonts w:ascii="Arial" w:hAnsi="Arial"/>
                <w:b w:val="false"/>
                <w:i w:val="false"/>
                <w:i w:val="false"/>
                <w:caps w:val="false"/>
                <w:smallCaps w:val="false"/>
                <w:color w:val="000000"/>
                <w:sz w:val="18"/>
                <w:szCs w:val="18"/>
                <w:highlight w:val="none"/>
                <w:shd w:fill="auto" w:val="clear"/>
              </w:rPr>
            </w:pPr>
            <w:r>
              <w:rPr>
                <w:rFonts w:ascii="Arial" w:hAnsi="Arial"/>
                <w:b w:val="false"/>
                <w:i w:val="false"/>
                <w:caps w:val="false"/>
                <w:smallCaps w:val="false"/>
                <w:color w:val="000000"/>
                <w:sz w:val="18"/>
                <w:szCs w:val="18"/>
                <w:shd w:fill="auto" w:val="clear"/>
              </w:rPr>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3603</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07.11.2025,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1335-st</w:t>
            </w:r>
          </w:p>
          <w:p>
            <w:pPr>
              <w:pStyle w:val="TableContents"/>
              <w:bidi w:val="0"/>
              <w:spacing w:lineRule="auto" w:line="240" w:before="0" w:after="0"/>
              <w:ind w:hanging="0" w:left="0" w:right="0"/>
              <w:jc w:val="left"/>
              <w:rPr>
                <w:rFonts w:ascii="Arial" w:hAnsi="Arial"/>
                <w:color w:val="000000"/>
                <w:sz w:val="18"/>
                <w:szCs w:val="18"/>
                <w:highlight w:val="none"/>
                <w:u w:val="none"/>
                <w:shd w:fill="auto" w:val="clear"/>
              </w:rPr>
            </w:pPr>
            <w:r>
              <w:rPr>
                <w:rFonts w:ascii="Arial" w:hAnsi="Arial"/>
                <w:color w:val="000000"/>
                <w:sz w:val="18"/>
                <w:szCs w:val="18"/>
                <w:u w:val="none"/>
                <w:shd w:fill="auto" w:val="clear"/>
              </w:rPr>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EN 16436-1-2023.</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Rubber and plastics hoses, tubing and assemblies for use with liquefied petroleum and natural gas. Part 1. Hoses and tubings</w:t>
            </w:r>
          </w:p>
          <w:p>
            <w:pPr>
              <w:pStyle w:val="TableContents"/>
              <w:bidi w:val="0"/>
              <w:spacing w:lineRule="auto" w:line="240" w:before="0" w:after="0"/>
              <w:ind w:hanging="0" w:left="0" w:right="0"/>
              <w:jc w:val="left"/>
              <w:rPr>
                <w:rFonts w:ascii="Arial" w:hAnsi="Arial"/>
                <w:color w:val="000000"/>
                <w:sz w:val="18"/>
                <w:szCs w:val="18"/>
                <w:highlight w:val="none"/>
                <w:shd w:fill="auto" w:val="clear"/>
              </w:rPr>
            </w:pPr>
            <w:r>
              <w:rPr>
                <w:rFonts w:ascii="Arial" w:hAnsi="Arial"/>
                <w:color w:val="000000"/>
                <w:sz w:val="18"/>
                <w:szCs w:val="18"/>
                <w:shd w:fill="auto" w:val="clear"/>
              </w:rPr>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4009</w:t>
            </w:r>
          </w:p>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3917</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Interstate Council for Standardization, Metrology and Certification,</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25.09.2023,</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165-P</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EN 16436-2-2023.</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Rubber and plastics hoses, tubing and assemblies for use with liquefied petroleum and natural gas. Part 2. Assemblies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4009</w:t>
            </w:r>
          </w:p>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3917</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01.12.2025,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1598-st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72338-2025.</w:t>
            </w:r>
          </w:p>
          <w:p>
            <w:pPr>
              <w:pStyle w:val="TableContents"/>
              <w:bidi w:val="0"/>
              <w:spacing w:lineRule="auto" w:line="240" w:before="0" w:after="0"/>
              <w:ind w:hanging="0" w:left="0" w:right="0"/>
              <w:jc w:val="left"/>
              <w:rPr>
                <w:rFonts w:ascii="Arial" w:hAnsi="Arial"/>
                <w:sz w:val="18"/>
                <w:szCs w:val="18"/>
              </w:rPr>
            </w:pPr>
            <w:bookmarkStart w:id="0" w:name="P0009"/>
            <w:bookmarkEnd w:id="0"/>
            <w:r>
              <w:rPr>
                <w:rFonts w:ascii="Arial" w:hAnsi="Arial"/>
                <w:b w:val="false"/>
                <w:i w:val="false"/>
                <w:caps w:val="false"/>
                <w:smallCaps w:val="false"/>
                <w:color w:val="000000"/>
                <w:spacing w:val="0"/>
                <w:sz w:val="18"/>
                <w:szCs w:val="18"/>
                <w:shd w:fill="auto" w:val="clear"/>
              </w:rPr>
              <w:t>Technologies and technological processes for processing parts. Terms and definitions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27.10.2025,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1281-st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Conformity assessment procedure</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72182.2-2025.</w:t>
            </w:r>
          </w:p>
          <w:p>
            <w:pPr>
              <w:pStyle w:val="TableContents"/>
              <w:bidi w:val="0"/>
              <w:spacing w:lineRule="auto" w:line="240" w:before="0" w:after="0"/>
              <w:ind w:hanging="0" w:left="0" w:right="0"/>
              <w:jc w:val="left"/>
              <w:rPr>
                <w:rFonts w:ascii="Arial" w:hAnsi="Arial"/>
                <w:sz w:val="18"/>
                <w:szCs w:val="18"/>
              </w:rPr>
            </w:pPr>
            <w:bookmarkStart w:id="1" w:name="P000C"/>
            <w:bookmarkEnd w:id="1"/>
            <w:r>
              <w:rPr>
                <w:rFonts w:ascii="Arial" w:hAnsi="Arial"/>
                <w:b w:val="false"/>
                <w:i w:val="false"/>
                <w:caps w:val="false"/>
                <w:smallCaps w:val="false"/>
                <w:color w:val="000000"/>
                <w:spacing w:val="0"/>
                <w:sz w:val="18"/>
                <w:szCs w:val="18"/>
                <w:shd w:fill="auto" w:val="clear"/>
              </w:rPr>
              <w:t>Solderless connections. Part 2. Crimped connections. General requirements and test methods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8536</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27.10.2025,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1282-st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Conformity assessment procedure</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72182.3-2025.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Solderless connections. Part 3. Accessible insulation displacement connections. General requirements and test methods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8536</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28.10.2025,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 xml:space="preserve">№ </w:t>
            </w:r>
            <w:r>
              <w:rPr>
                <w:rFonts w:ascii="Arial" w:hAnsi="Arial"/>
                <w:color w:val="000000"/>
                <w:sz w:val="18"/>
                <w:szCs w:val="18"/>
                <w:u w:val="none"/>
                <w:shd w:fill="auto" w:val="clear"/>
              </w:rPr>
              <w:t>1287-st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Conformity assessment procedure</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72182.4-2025.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Solderless connections. Part 4. Non-accessible insulation displacement ID connections. General requirements and test methods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8536</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27.10.2025,</w:t>
            </w:r>
          </w:p>
          <w:p>
            <w:pPr>
              <w:pStyle w:val="TableContents"/>
              <w:bidi w:val="0"/>
              <w:spacing w:lineRule="auto" w:line="240" w:before="0" w:after="0"/>
              <w:ind w:hanging="0" w:left="0" w:right="0"/>
              <w:jc w:val="left"/>
              <w:rPr/>
            </w:pPr>
            <w:r>
              <w:fldChar w:fldCharType="begin"/>
            </w:r>
            <w:r>
              <w:rPr>
                <w:rStyle w:val="Hyperlink"/>
                <w:smallCaps w:val="false"/>
                <w:caps w:val="false"/>
                <w:sz w:val="18"/>
                <w:spacing w:val="0"/>
                <w:u w:val="none"/>
                <w:shd w:fill="auto" w:val="clear"/>
                <w:szCs w:val="18"/>
                <w:rFonts w:ascii="Arial" w:hAnsi="Arial"/>
                <w:color w:val="000000"/>
              </w:rPr>
              <w:instrText xml:space="preserve"> HYPERLINK "https://docs.cntd.ru/document/1314375420" \l "64S0IJ"</w:instrText>
            </w:r>
            <w:r>
              <w:rPr>
                <w:rStyle w:val="Hyperlink"/>
                <w:smallCaps w:val="false"/>
                <w:caps w:val="false"/>
                <w:sz w:val="18"/>
                <w:spacing w:val="0"/>
                <w:u w:val="none"/>
                <w:shd w:fill="auto" w:val="clear"/>
                <w:szCs w:val="18"/>
                <w:rFonts w:ascii="Arial" w:hAnsi="Arial"/>
                <w:color w:val="000000"/>
              </w:rPr>
              <w:fldChar w:fldCharType="separate"/>
            </w:r>
            <w:r>
              <w:rPr>
                <w:rStyle w:val="Hyperlink"/>
                <w:rFonts w:ascii="Arial" w:hAnsi="Arial"/>
                <w:caps w:val="false"/>
                <w:smallCaps w:val="false"/>
                <w:color w:val="000000"/>
                <w:spacing w:val="0"/>
                <w:sz w:val="18"/>
                <w:szCs w:val="18"/>
                <w:u w:val="none"/>
                <w:shd w:fill="auto" w:val="clear"/>
              </w:rPr>
              <w:t xml:space="preserve">№ </w:t>
            </w:r>
            <w:r>
              <w:rPr>
                <w:rStyle w:val="Hyperlink"/>
                <w:smallCaps w:val="false"/>
                <w:caps w:val="false"/>
                <w:sz w:val="18"/>
                <w:spacing w:val="0"/>
                <w:u w:val="none"/>
                <w:shd w:fill="auto" w:val="clear"/>
                <w:szCs w:val="18"/>
                <w:rFonts w:ascii="Arial" w:hAnsi="Arial"/>
                <w:color w:val="000000"/>
              </w:rPr>
              <w:fldChar w:fldCharType="end"/>
            </w:r>
            <w:r>
              <w:rPr>
                <w:rStyle w:val="Hyperlink"/>
                <w:rFonts w:ascii="Arial" w:hAnsi="Arial"/>
                <w:b w:val="false"/>
                <w:i w:val="false"/>
                <w:caps w:val="false"/>
                <w:smallCaps w:val="false"/>
                <w:color w:val="000000"/>
                <w:spacing w:val="0"/>
                <w:sz w:val="18"/>
                <w:szCs w:val="18"/>
                <w:u w:val="none"/>
                <w:shd w:fill="auto" w:val="clear"/>
              </w:rPr>
              <w:t>1283-st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Conformity assessment procedure</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72182.6-2025.</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Solderless connections. Part 6. Insulation piercing connections. General requirements and test methods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8536</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28.10.2025,</w:t>
            </w:r>
          </w:p>
          <w:p>
            <w:pPr>
              <w:pStyle w:val="TableContents"/>
              <w:bidi w:val="0"/>
              <w:spacing w:lineRule="auto" w:line="240" w:before="0" w:after="0"/>
              <w:ind w:hanging="0" w:left="0" w:right="0"/>
              <w:jc w:val="left"/>
              <w:rPr/>
            </w:pPr>
            <w:r>
              <w:fldChar w:fldCharType="begin"/>
            </w:r>
            <w:r>
              <w:rPr>
                <w:rStyle w:val="Hyperlink"/>
                <w:smallCaps w:val="false"/>
                <w:caps w:val="false"/>
                <w:sz w:val="18"/>
                <w:spacing w:val="0"/>
                <w:u w:val="none"/>
                <w:shd w:fill="auto" w:val="clear"/>
                <w:szCs w:val="18"/>
                <w:rFonts w:ascii="Arial" w:hAnsi="Arial"/>
                <w:color w:val="000000"/>
              </w:rPr>
              <w:instrText xml:space="preserve"> HYPERLINK "https://docs.cntd.ru/document/1314375422" \l "64S0IJ"</w:instrText>
            </w:r>
            <w:r>
              <w:rPr>
                <w:rStyle w:val="Hyperlink"/>
                <w:smallCaps w:val="false"/>
                <w:caps w:val="false"/>
                <w:sz w:val="18"/>
                <w:spacing w:val="0"/>
                <w:u w:val="none"/>
                <w:shd w:fill="auto" w:val="clear"/>
                <w:szCs w:val="18"/>
                <w:rFonts w:ascii="Arial" w:hAnsi="Arial"/>
                <w:color w:val="000000"/>
              </w:rPr>
              <w:fldChar w:fldCharType="separate"/>
            </w:r>
            <w:r>
              <w:rPr>
                <w:rStyle w:val="Hyperlink"/>
                <w:rFonts w:ascii="Arial" w:hAnsi="Arial"/>
                <w:caps w:val="false"/>
                <w:smallCaps w:val="false"/>
                <w:color w:val="000000"/>
                <w:spacing w:val="0"/>
                <w:sz w:val="18"/>
                <w:szCs w:val="18"/>
                <w:u w:val="none"/>
                <w:shd w:fill="auto" w:val="clear"/>
              </w:rPr>
              <w:t xml:space="preserve">№ </w:t>
            </w:r>
            <w:r>
              <w:rPr>
                <w:rStyle w:val="Hyperlink"/>
                <w:smallCaps w:val="false"/>
                <w:caps w:val="false"/>
                <w:sz w:val="18"/>
                <w:spacing w:val="0"/>
                <w:u w:val="none"/>
                <w:shd w:fill="auto" w:val="clear"/>
                <w:szCs w:val="18"/>
                <w:rFonts w:ascii="Arial" w:hAnsi="Arial"/>
                <w:color w:val="000000"/>
              </w:rPr>
              <w:fldChar w:fldCharType="end"/>
            </w:r>
            <w:r>
              <w:rPr>
                <w:rStyle w:val="Hyperlink"/>
                <w:rFonts w:ascii="Arial" w:hAnsi="Arial"/>
                <w:b w:val="false"/>
                <w:i w:val="false"/>
                <w:caps w:val="false"/>
                <w:smallCaps w:val="false"/>
                <w:color w:val="000000"/>
                <w:spacing w:val="0"/>
                <w:sz w:val="18"/>
                <w:szCs w:val="18"/>
                <w:u w:val="none"/>
                <w:shd w:fill="auto" w:val="clear"/>
              </w:rPr>
              <w:t>1285-st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Conformity assessment procedure</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72182.7-2025.</w:t>
            </w:r>
          </w:p>
          <w:p>
            <w:pPr>
              <w:pStyle w:val="TableContents"/>
              <w:bidi w:val="0"/>
              <w:spacing w:lineRule="auto" w:line="240" w:before="0" w:after="0"/>
              <w:ind w:hanging="0" w:left="0" w:right="0"/>
              <w:jc w:val="left"/>
              <w:rPr>
                <w:rFonts w:ascii="Arial" w:hAnsi="Arial"/>
                <w:sz w:val="18"/>
                <w:szCs w:val="18"/>
              </w:rPr>
            </w:pPr>
            <w:bookmarkStart w:id="2" w:name="P000C_Copy_1"/>
            <w:bookmarkEnd w:id="2"/>
            <w:r>
              <w:rPr>
                <w:rFonts w:ascii="Arial" w:hAnsi="Arial"/>
                <w:b w:val="false"/>
                <w:i w:val="false"/>
                <w:caps w:val="false"/>
                <w:smallCaps w:val="false"/>
                <w:color w:val="000000"/>
                <w:spacing w:val="0"/>
                <w:sz w:val="18"/>
                <w:szCs w:val="18"/>
                <w:shd w:fill="auto" w:val="clear"/>
              </w:rPr>
              <w:t>Solderless connections. Part 7. Spring clamp connections. General requirements and test methods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8538</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28.10.2025,</w:t>
            </w:r>
          </w:p>
          <w:p>
            <w:pPr>
              <w:pStyle w:val="TableContents"/>
              <w:bidi w:val="0"/>
              <w:spacing w:lineRule="auto" w:line="240" w:before="0" w:after="0"/>
              <w:ind w:hanging="0" w:left="0" w:right="0"/>
              <w:jc w:val="left"/>
              <w:rPr/>
            </w:pPr>
            <w:r>
              <w:fldChar w:fldCharType="begin"/>
            </w:r>
            <w:r>
              <w:rPr>
                <w:rStyle w:val="Hyperlink"/>
                <w:smallCaps w:val="false"/>
                <w:caps w:val="false"/>
                <w:dstrike w:val="false"/>
                <w:strike w:val="false"/>
                <w:sz w:val="18"/>
                <w:spacing w:val="0"/>
                <w:u w:val="none"/>
                <w:effect w:val="none"/>
                <w:shd w:fill="auto" w:val="clear"/>
                <w:szCs w:val="18"/>
                <w:rFonts w:ascii="Arial" w:hAnsi="Arial"/>
                <w:color w:val="000000"/>
              </w:rPr>
              <w:instrText xml:space="preserve"> HYPERLINK "https://docs.cntd.ru/document/1314375425" \l "64S0IJ"</w:instrText>
            </w:r>
            <w:r>
              <w:rPr>
                <w:rStyle w:val="Hyperlink"/>
                <w:smallCaps w:val="false"/>
                <w:caps w:val="false"/>
                <w:dstrike w:val="false"/>
                <w:strike w:val="false"/>
                <w:sz w:val="18"/>
                <w:spacing w:val="0"/>
                <w:u w:val="none"/>
                <w:effect w:val="none"/>
                <w:shd w:fill="auto" w:val="clear"/>
                <w:szCs w:val="18"/>
                <w:rFonts w:ascii="Arial" w:hAnsi="Arial"/>
                <w:color w:val="000000"/>
              </w:rPr>
              <w:fldChar w:fldCharType="separate"/>
            </w:r>
            <w:r>
              <w:rPr>
                <w:rStyle w:val="Hyperlink"/>
                <w:rFonts w:ascii="Arial" w:hAnsi="Arial"/>
                <w:caps w:val="false"/>
                <w:smallCaps w:val="false"/>
                <w:strike w:val="false"/>
                <w:dstrike w:val="false"/>
                <w:color w:val="000000"/>
                <w:spacing w:val="0"/>
                <w:sz w:val="18"/>
                <w:szCs w:val="18"/>
                <w:u w:val="none"/>
                <w:effect w:val="none"/>
                <w:shd w:fill="auto" w:val="clear"/>
              </w:rPr>
              <w:t xml:space="preserve">№ </w:t>
            </w:r>
            <w:r>
              <w:rPr>
                <w:rStyle w:val="Hyperlink"/>
                <w:smallCaps w:val="false"/>
                <w:caps w:val="false"/>
                <w:dstrike w:val="false"/>
                <w:strike w:val="false"/>
                <w:sz w:val="18"/>
                <w:spacing w:val="0"/>
                <w:u w:val="none"/>
                <w:effect w:val="none"/>
                <w:shd w:fill="auto" w:val="clear"/>
                <w:szCs w:val="18"/>
                <w:rFonts w:ascii="Arial" w:hAnsi="Arial"/>
                <w:color w:val="000000"/>
              </w:rPr>
              <w:fldChar w:fldCharType="end"/>
            </w:r>
            <w:r>
              <w:rPr>
                <w:rStyle w:val="Hyperlink"/>
                <w:rFonts w:ascii="Arial" w:hAnsi="Arial"/>
                <w:b w:val="false"/>
                <w:i w:val="false"/>
                <w:caps w:val="false"/>
                <w:smallCaps w:val="false"/>
                <w:strike w:val="false"/>
                <w:dstrike w:val="false"/>
                <w:color w:val="000000"/>
                <w:spacing w:val="0"/>
                <w:sz w:val="18"/>
                <w:szCs w:val="18"/>
                <w:u w:val="none"/>
                <w:effect w:val="none"/>
                <w:shd w:fill="auto" w:val="clear"/>
              </w:rPr>
              <w:t>1286-st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Conformity assessment procedure</w:t>
            </w:r>
          </w:p>
          <w:p>
            <w:pPr>
              <w:pStyle w:val="TableContents"/>
              <w:bidi w:val="0"/>
              <w:spacing w:lineRule="auto" w:line="240" w:before="0" w:after="0"/>
              <w:ind w:hanging="0" w:left="0" w:right="0"/>
              <w:jc w:val="left"/>
              <w:rPr>
                <w:rFonts w:ascii="Arial" w:hAnsi="Arial"/>
                <w:sz w:val="18"/>
                <w:szCs w:val="18"/>
              </w:rPr>
            </w:pPr>
            <w:r>
              <w:rPr>
                <w:rFonts w:ascii="Arial" w:hAnsi="Arial"/>
                <w:b w:val="false"/>
                <w:bCs w:val="false"/>
                <w:color w:val="000000"/>
                <w:sz w:val="18"/>
                <w:szCs w:val="18"/>
                <w:shd w:fill="auto" w:val="clear"/>
              </w:rPr>
              <w:t>GOST R 72182.9-2025.</w:t>
            </w:r>
          </w:p>
          <w:p>
            <w:pPr>
              <w:pStyle w:val="TableContents"/>
              <w:bidi w:val="0"/>
              <w:spacing w:lineRule="auto" w:line="240" w:before="0" w:after="0"/>
              <w:ind w:hanging="0" w:left="0" w:right="0"/>
              <w:jc w:val="left"/>
              <w:rPr>
                <w:rFonts w:ascii="Arial" w:hAnsi="Arial"/>
                <w:sz w:val="18"/>
                <w:szCs w:val="18"/>
              </w:rPr>
            </w:pPr>
            <w:r>
              <w:rPr>
                <w:rFonts w:ascii="Arial" w:hAnsi="Arial"/>
                <w:b w:val="false"/>
                <w:bCs w:val="false"/>
                <w:i w:val="false"/>
                <w:caps w:val="false"/>
                <w:smallCaps w:val="false"/>
                <w:color w:val="000000"/>
                <w:spacing w:val="0"/>
                <w:sz w:val="18"/>
                <w:szCs w:val="18"/>
                <w:shd w:fill="auto" w:val="clear"/>
              </w:rPr>
              <w:t>Solderless connections. Part 9. Ultrasonically welded connections. General requirements and test methods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8515</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Interstate Council for Standardization, Metrology and Certification,</w:t>
            </w:r>
          </w:p>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31.07.2025</w:t>
            </w:r>
          </w:p>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 xml:space="preserve">№ </w:t>
            </w:r>
            <w:r>
              <w:rPr>
                <w:rFonts w:ascii="Arial" w:hAnsi="Arial"/>
                <w:b w:val="false"/>
                <w:i w:val="false"/>
                <w:caps w:val="false"/>
                <w:smallCaps w:val="false"/>
                <w:color w:val="000000"/>
                <w:spacing w:val="0"/>
                <w:sz w:val="18"/>
                <w:szCs w:val="18"/>
                <w:u w:val="none"/>
                <w:shd w:fill="auto" w:val="clear"/>
              </w:rPr>
              <w:t>187-P</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13448-2025.</w:t>
            </w:r>
          </w:p>
          <w:p>
            <w:pPr>
              <w:pStyle w:val="TableContents"/>
              <w:bidi w:val="0"/>
              <w:spacing w:lineRule="auto" w:line="240" w:before="0" w:after="0"/>
              <w:ind w:hanging="0" w:left="0" w:right="0"/>
              <w:jc w:val="left"/>
              <w:rPr>
                <w:rFonts w:ascii="Arial" w:hAnsi="Arial"/>
                <w:sz w:val="18"/>
                <w:szCs w:val="18"/>
              </w:rPr>
            </w:pPr>
            <w:bookmarkStart w:id="3" w:name="P0009_Copy_1"/>
            <w:bookmarkEnd w:id="3"/>
            <w:r>
              <w:rPr>
                <w:rFonts w:ascii="Arial" w:hAnsi="Arial"/>
                <w:b w:val="false"/>
                <w:i w:val="false"/>
                <w:caps w:val="false"/>
                <w:smallCaps w:val="false"/>
                <w:color w:val="000000"/>
                <w:spacing w:val="0"/>
                <w:sz w:val="18"/>
                <w:szCs w:val="18"/>
                <w:shd w:fill="auto" w:val="clear"/>
              </w:rPr>
              <w:t>Plastic ventilation grills. General specifcations</w:t>
            </w:r>
          </w:p>
          <w:p>
            <w:pPr>
              <w:pStyle w:val="BodyText"/>
              <w:bidi w:val="0"/>
              <w:spacing w:lineRule="auto" w:line="240" w:before="0" w:after="0"/>
              <w:ind w:hanging="0" w:left="0"/>
              <w:jc w:val="left"/>
              <w:rPr>
                <w:rFonts w:ascii="Arial" w:hAnsi="Arial"/>
                <w:sz w:val="18"/>
                <w:szCs w:val="18"/>
              </w:rPr>
            </w:pPr>
            <w:r>
              <w:rPr>
                <w:rFonts w:ascii="Arial" w:hAnsi="Arial"/>
                <w:color w:val="000000"/>
                <w:sz w:val="18"/>
                <w:szCs w:val="18"/>
                <w:shd w:fill="auto" w:val="clear"/>
              </w:rPr>
              <w:br/>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3926</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Interstate Council for Standardization, Metrology and Certification,</w:t>
            </w:r>
          </w:p>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31.07.2025,</w:t>
            </w:r>
          </w:p>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 xml:space="preserve">№ </w:t>
            </w:r>
            <w:r>
              <w:rPr>
                <w:rFonts w:ascii="Arial" w:hAnsi="Arial"/>
                <w:b w:val="false"/>
                <w:i w:val="false"/>
                <w:caps w:val="false"/>
                <w:smallCaps w:val="false"/>
                <w:color w:val="000000"/>
                <w:spacing w:val="0"/>
                <w:sz w:val="18"/>
                <w:szCs w:val="18"/>
                <w:u w:val="none"/>
                <w:shd w:fill="auto" w:val="clear"/>
              </w:rPr>
              <w:t>187-P</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23499-2025.</w:t>
            </w:r>
          </w:p>
          <w:p>
            <w:pPr>
              <w:pStyle w:val="TableContents"/>
              <w:bidi w:val="0"/>
              <w:spacing w:lineRule="auto" w:line="240" w:before="0" w:after="0"/>
              <w:ind w:hanging="0" w:left="0" w:right="0"/>
              <w:jc w:val="left"/>
              <w:rPr>
                <w:rFonts w:ascii="Arial" w:hAnsi="Arial"/>
                <w:sz w:val="18"/>
                <w:szCs w:val="18"/>
              </w:rPr>
            </w:pPr>
            <w:r>
              <w:rPr>
                <w:rFonts w:ascii="Arial" w:hAnsi="Arial"/>
                <w:b w:val="false"/>
                <w:bCs w:val="false"/>
                <w:i w:val="false"/>
                <w:caps w:val="false"/>
                <w:smallCaps w:val="false"/>
                <w:color w:val="000000"/>
                <w:spacing w:val="0"/>
                <w:sz w:val="18"/>
                <w:szCs w:val="18"/>
                <w:shd w:fill="auto" w:val="clear"/>
              </w:rPr>
              <w:t>Sound-insulating and sound-absorbing building materials and products. General specifications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3920</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Interstate Council for Standardization, Metrology and Certification, 31.07.2025</w:t>
            </w:r>
          </w:p>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 xml:space="preserve">№ </w:t>
            </w:r>
            <w:r>
              <w:rPr>
                <w:rFonts w:ascii="Arial" w:hAnsi="Arial"/>
                <w:b w:val="false"/>
                <w:i w:val="false"/>
                <w:caps w:val="false"/>
                <w:smallCaps w:val="false"/>
                <w:color w:val="000000"/>
                <w:spacing w:val="0"/>
                <w:sz w:val="18"/>
                <w:szCs w:val="18"/>
                <w:u w:val="none"/>
                <w:shd w:fill="auto" w:val="clear"/>
              </w:rPr>
              <w:t>187-P</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25137-2025.</w:t>
            </w:r>
          </w:p>
          <w:p>
            <w:pPr>
              <w:pStyle w:val="TableContents"/>
              <w:bidi w:val="0"/>
              <w:spacing w:lineRule="auto" w:line="240" w:before="0" w:after="0"/>
              <w:ind w:hanging="0" w:left="0" w:right="0"/>
              <w:jc w:val="left"/>
              <w:rPr>
                <w:rFonts w:ascii="Arial" w:hAnsi="Arial"/>
                <w:sz w:val="18"/>
                <w:szCs w:val="18"/>
              </w:rPr>
            </w:pPr>
            <w:bookmarkStart w:id="4" w:name="P0008"/>
            <w:bookmarkEnd w:id="4"/>
            <w:r>
              <w:rPr>
                <w:rFonts w:ascii="Arial" w:hAnsi="Arial"/>
                <w:b w:val="false"/>
                <w:i w:val="false"/>
                <w:caps w:val="false"/>
                <w:smallCaps w:val="false"/>
                <w:color w:val="000000"/>
                <w:spacing w:val="0"/>
                <w:sz w:val="18"/>
                <w:szCs w:val="18"/>
                <w:shd w:fill="auto" w:val="clear"/>
              </w:rPr>
              <w:t>Non-metallic building materials, porous aggregates from dense rocks, porous, from industrial waste for concrete. Classification</w:t>
            </w:r>
          </w:p>
          <w:p>
            <w:pPr>
              <w:pStyle w:val="BodyText"/>
              <w:bidi w:val="0"/>
              <w:spacing w:lineRule="auto" w:line="240" w:before="0" w:after="0"/>
              <w:ind w:hanging="0" w:left="0"/>
              <w:jc w:val="left"/>
              <w:rPr>
                <w:rFonts w:ascii="Arial" w:hAnsi="Arial"/>
                <w:sz w:val="18"/>
                <w:szCs w:val="18"/>
              </w:rPr>
            </w:pPr>
            <w:r>
              <w:rPr>
                <w:rFonts w:ascii="Arial" w:hAnsi="Arial"/>
                <w:color w:val="000000"/>
                <w:sz w:val="18"/>
                <w:szCs w:val="18"/>
                <w:shd w:fill="auto" w:val="clear"/>
              </w:rPr>
              <w:br/>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6806</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Interstate Council for Standardization, Metrology and Certification, 31.07.2025,</w:t>
            </w:r>
          </w:p>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 xml:space="preserve">№ </w:t>
            </w:r>
            <w:r>
              <w:rPr>
                <w:rFonts w:ascii="Arial" w:hAnsi="Arial"/>
                <w:b w:val="false"/>
                <w:i w:val="false"/>
                <w:caps w:val="false"/>
                <w:smallCaps w:val="false"/>
                <w:color w:val="000000"/>
                <w:spacing w:val="0"/>
                <w:sz w:val="18"/>
                <w:szCs w:val="18"/>
                <w:u w:val="none"/>
                <w:shd w:fill="auto" w:val="clear"/>
              </w:rPr>
              <w:t>187-P</w:t>
            </w:r>
          </w:p>
        </w:tc>
        <w:tc>
          <w:tcPr>
            <w:tcW w:w="3956"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b/>
                <w:bCs/>
                <w:color w:val="000000"/>
                <w:sz w:val="18"/>
                <w:szCs w:val="18"/>
                <w:shd w:fill="auto" w:val="clear"/>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25818-2025.</w:t>
            </w:r>
          </w:p>
          <w:p>
            <w:pPr>
              <w:pStyle w:val="TableContents"/>
              <w:bidi w:val="0"/>
              <w:spacing w:lineRule="auto" w:line="240" w:before="0" w:after="0"/>
              <w:ind w:hanging="0" w:left="0" w:right="0"/>
              <w:jc w:val="left"/>
              <w:rPr>
                <w:rFonts w:ascii="Arial" w:hAnsi="Arial"/>
                <w:sz w:val="18"/>
                <w:szCs w:val="18"/>
              </w:rPr>
            </w:pPr>
            <w:r>
              <w:rPr>
                <w:rFonts w:ascii="Arial" w:hAnsi="Arial"/>
                <w:b w:val="false"/>
                <w:bCs w:val="false"/>
                <w:i w:val="false"/>
                <w:caps w:val="false"/>
                <w:smallCaps w:val="false"/>
                <w:color w:val="000000"/>
                <w:spacing w:val="0"/>
                <w:sz w:val="18"/>
                <w:szCs w:val="18"/>
                <w:shd w:fill="auto" w:val="clear"/>
              </w:rPr>
              <w:t>Fly ash thermal power plant for use in concrete. Specifications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2621</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Interstate Council for Standardization, Metrology and Certification, 29 августа 2025</w:t>
            </w:r>
          </w:p>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 xml:space="preserve">№ </w:t>
            </w:r>
            <w:r>
              <w:rPr>
                <w:rFonts w:ascii="Arial" w:hAnsi="Arial"/>
                <w:b w:val="false"/>
                <w:i w:val="false"/>
                <w:caps w:val="false"/>
                <w:smallCaps w:val="false"/>
                <w:color w:val="000000"/>
                <w:spacing w:val="0"/>
                <w:sz w:val="18"/>
                <w:szCs w:val="18"/>
                <w:u w:val="none"/>
                <w:shd w:fill="auto" w:val="clear"/>
              </w:rPr>
              <w:t>188-P</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Conformity assessment procedure</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8269.0-2025.</w:t>
            </w:r>
          </w:p>
          <w:p>
            <w:pPr>
              <w:pStyle w:val="TableContents"/>
              <w:bidi w:val="0"/>
              <w:spacing w:lineRule="auto" w:line="240" w:before="0" w:after="0"/>
              <w:ind w:hanging="0" w:left="0" w:right="0"/>
              <w:jc w:val="left"/>
              <w:rPr>
                <w:rFonts w:ascii="Arial" w:hAnsi="Arial"/>
                <w:sz w:val="18"/>
                <w:szCs w:val="18"/>
              </w:rPr>
            </w:pPr>
            <w:r>
              <w:rPr>
                <w:rFonts w:ascii="Arial" w:hAnsi="Arial"/>
                <w:b w:val="false"/>
                <w:bCs w:val="false"/>
                <w:i w:val="false"/>
                <w:caps w:val="false"/>
                <w:smallCaps w:val="false"/>
                <w:color w:val="000000"/>
                <w:spacing w:val="0"/>
                <w:sz w:val="18"/>
                <w:szCs w:val="18"/>
                <w:shd w:fill="auto" w:val="clear"/>
              </w:rPr>
              <w:t>Mauntainous rock road-metal and gravel, industrial waste products for construction works. Methods of physical and mechanical tests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2517</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Interstate Council for Standardization, Metrology and Certification, 31.07.2025.,</w:t>
            </w:r>
          </w:p>
          <w:p>
            <w:pPr>
              <w:pStyle w:val="TableContents"/>
              <w:widowControl/>
              <w:bidi w:val="0"/>
              <w:spacing w:lineRule="auto" w:line="240" w:before="0" w:after="0"/>
              <w:ind w:hanging="0" w:left="0" w:right="0"/>
              <w:jc w:val="left"/>
              <w:rPr>
                <w:rFonts w:ascii="Arial" w:hAnsi="Arial"/>
                <w:sz w:val="18"/>
                <w:szCs w:val="18"/>
              </w:rPr>
            </w:pPr>
            <w:r>
              <w:rPr>
                <w:rFonts w:ascii="Arial" w:hAnsi="Arial"/>
                <w:b w:val="false"/>
                <w:i w:val="false"/>
                <w:caps w:val="false"/>
                <w:smallCaps w:val="false"/>
                <w:color w:val="000000"/>
                <w:spacing w:val="0"/>
                <w:sz w:val="18"/>
                <w:szCs w:val="18"/>
                <w:u w:val="none"/>
                <w:shd w:fill="auto" w:val="clear"/>
              </w:rPr>
              <w:t xml:space="preserve">№ </w:t>
            </w:r>
            <w:r>
              <w:rPr>
                <w:rFonts w:ascii="Arial" w:hAnsi="Arial"/>
                <w:b w:val="false"/>
                <w:i w:val="false"/>
                <w:caps w:val="false"/>
                <w:smallCaps w:val="false"/>
                <w:color w:val="000000"/>
                <w:spacing w:val="0"/>
                <w:sz w:val="18"/>
                <w:szCs w:val="18"/>
                <w:u w:val="none"/>
                <w:shd w:fill="auto" w:val="clear"/>
              </w:rPr>
              <w:t>187-P</w:t>
            </w:r>
          </w:p>
        </w:tc>
        <w:tc>
          <w:tcPr>
            <w:tcW w:w="3956"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b/>
                <w:bCs/>
                <w:color w:val="000000"/>
                <w:sz w:val="18"/>
                <w:szCs w:val="18"/>
                <w:shd w:fill="auto" w:val="clear"/>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8736-2025.</w:t>
            </w:r>
          </w:p>
          <w:p>
            <w:pPr>
              <w:pStyle w:val="TableContents"/>
              <w:bidi w:val="0"/>
              <w:spacing w:lineRule="auto" w:line="240" w:before="0" w:after="0"/>
              <w:ind w:hanging="0" w:left="0" w:right="0"/>
              <w:jc w:val="left"/>
              <w:rPr>
                <w:rFonts w:ascii="Arial" w:hAnsi="Arial"/>
                <w:sz w:val="18"/>
                <w:szCs w:val="18"/>
              </w:rPr>
            </w:pPr>
            <w:bookmarkStart w:id="5" w:name="P0009_Copy_2"/>
            <w:bookmarkEnd w:id="5"/>
            <w:r>
              <w:rPr>
                <w:rFonts w:ascii="Arial" w:hAnsi="Arial"/>
                <w:b w:val="false"/>
                <w:i w:val="false"/>
                <w:caps w:val="false"/>
                <w:smallCaps w:val="false"/>
                <w:color w:val="000000"/>
                <w:spacing w:val="0"/>
                <w:sz w:val="18"/>
                <w:szCs w:val="18"/>
                <w:shd w:fill="auto" w:val="clear"/>
              </w:rPr>
              <w:t>Sand for construction works. Specifications</w:t>
            </w:r>
          </w:p>
          <w:p>
            <w:pPr>
              <w:pStyle w:val="BodyText"/>
              <w:bidi w:val="0"/>
              <w:spacing w:lineRule="auto" w:line="240" w:before="0" w:after="0"/>
              <w:ind w:hanging="0" w:left="0"/>
              <w:jc w:val="left"/>
              <w:rPr>
                <w:rFonts w:ascii="Arial" w:hAnsi="Arial"/>
                <w:sz w:val="18"/>
                <w:szCs w:val="18"/>
              </w:rPr>
            </w:pPr>
            <w:r>
              <w:rPr>
                <w:rFonts w:ascii="Arial" w:hAnsi="Arial"/>
                <w:color w:val="000000"/>
                <w:sz w:val="18"/>
                <w:szCs w:val="18"/>
                <w:shd w:fill="auto" w:val="clear"/>
              </w:rPr>
              <w:br/>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2505</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01.09.2025,</w:t>
            </w:r>
          </w:p>
          <w:p>
            <w:pPr>
              <w:pStyle w:val="TableContents"/>
              <w:bidi w:val="0"/>
              <w:spacing w:lineRule="auto" w:line="240" w:before="0" w:after="0"/>
              <w:ind w:hanging="0" w:left="0" w:right="0"/>
              <w:jc w:val="left"/>
              <w:rPr/>
            </w:pPr>
            <w:r>
              <w:fldChar w:fldCharType="begin"/>
            </w:r>
            <w:r>
              <w:rPr>
                <w:rStyle w:val="Hyperlink"/>
                <w:smallCaps w:val="false"/>
                <w:caps w:val="false"/>
                <w:sz w:val="18"/>
                <w:spacing w:val="0"/>
                <w:u w:val="none"/>
                <w:shd w:fill="auto" w:val="clear"/>
                <w:szCs w:val="18"/>
                <w:rFonts w:ascii="Arial" w:hAnsi="Arial"/>
                <w:color w:val="000000"/>
              </w:rPr>
              <w:instrText xml:space="preserve"> HYPERLINK "https://docs.cntd.ru/document/1314008505" \l "64S0IJ"</w:instrText>
            </w:r>
            <w:r>
              <w:rPr>
                <w:rStyle w:val="Hyperlink"/>
                <w:smallCaps w:val="false"/>
                <w:caps w:val="false"/>
                <w:sz w:val="18"/>
                <w:spacing w:val="0"/>
                <w:u w:val="none"/>
                <w:shd w:fill="auto" w:val="clear"/>
                <w:szCs w:val="18"/>
                <w:rFonts w:ascii="Arial" w:hAnsi="Arial"/>
                <w:color w:val="000000"/>
              </w:rPr>
              <w:fldChar w:fldCharType="separate"/>
            </w:r>
            <w:bookmarkStart w:id="6" w:name="P001C"/>
            <w:bookmarkEnd w:id="6"/>
            <w:r>
              <w:rPr>
                <w:rStyle w:val="Hyperlink"/>
                <w:rFonts w:ascii="Arial" w:hAnsi="Arial"/>
                <w:caps w:val="false"/>
                <w:smallCaps w:val="false"/>
                <w:color w:val="000000"/>
                <w:spacing w:val="0"/>
                <w:sz w:val="18"/>
                <w:szCs w:val="18"/>
                <w:u w:val="none"/>
                <w:shd w:fill="auto" w:val="clear"/>
              </w:rPr>
              <w:t xml:space="preserve">№ </w:t>
            </w:r>
            <w:r>
              <w:rPr>
                <w:rStyle w:val="Hyperlink"/>
                <w:smallCaps w:val="false"/>
                <w:caps w:val="false"/>
                <w:sz w:val="18"/>
                <w:spacing w:val="0"/>
                <w:u w:val="none"/>
                <w:shd w:fill="auto" w:val="clear"/>
                <w:szCs w:val="18"/>
                <w:rFonts w:ascii="Arial" w:hAnsi="Arial"/>
                <w:color w:val="000000"/>
              </w:rPr>
              <w:fldChar w:fldCharType="end"/>
            </w:r>
            <w:r>
              <w:rPr>
                <w:rStyle w:val="Hyperlink"/>
                <w:rFonts w:ascii="Arial" w:hAnsi="Arial"/>
                <w:b w:val="false"/>
                <w:i w:val="false"/>
                <w:caps w:val="false"/>
                <w:smallCaps w:val="false"/>
                <w:color w:val="000000"/>
                <w:spacing w:val="0"/>
                <w:sz w:val="18"/>
                <w:szCs w:val="18"/>
                <w:u w:val="none"/>
                <w:shd w:fill="auto" w:val="clear"/>
              </w:rPr>
              <w:t>978-st</w:t>
            </w:r>
          </w:p>
          <w:p>
            <w:pPr>
              <w:pStyle w:val="BodyText"/>
              <w:bidi w:val="0"/>
              <w:spacing w:lineRule="auto" w:line="240" w:before="0" w:after="0"/>
              <w:ind w:hanging="0" w:left="0"/>
              <w:jc w:val="left"/>
              <w:rPr>
                <w:rFonts w:ascii="Arial" w:hAnsi="Arial"/>
                <w:sz w:val="18"/>
                <w:szCs w:val="18"/>
              </w:rPr>
            </w:pPr>
            <w:r>
              <w:rPr>
                <w:rFonts w:ascii="Arial" w:hAnsi="Arial"/>
                <w:color w:val="000000"/>
                <w:sz w:val="18"/>
                <w:szCs w:val="18"/>
                <w:u w:val="none"/>
                <w:shd w:fill="auto" w:val="clear"/>
              </w:rPr>
              <w:br/>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72255-2025.</w:t>
            </w:r>
          </w:p>
          <w:p>
            <w:pPr>
              <w:pStyle w:val="TableContents"/>
              <w:bidi w:val="0"/>
              <w:spacing w:lineRule="auto" w:line="240" w:before="0" w:after="0"/>
              <w:ind w:hanging="0" w:left="0" w:right="0"/>
              <w:jc w:val="left"/>
              <w:rPr>
                <w:rFonts w:ascii="Arial" w:hAnsi="Arial"/>
                <w:sz w:val="18"/>
                <w:szCs w:val="18"/>
              </w:rPr>
            </w:pPr>
            <w:r>
              <w:rPr>
                <w:rFonts w:ascii="Arial" w:hAnsi="Arial"/>
                <w:b w:val="false"/>
                <w:bCs w:val="false"/>
                <w:i w:val="false"/>
                <w:caps w:val="false"/>
                <w:smallCaps w:val="false"/>
                <w:color w:val="000000"/>
                <w:spacing w:val="0"/>
                <w:sz w:val="18"/>
                <w:szCs w:val="18"/>
                <w:shd w:fill="auto" w:val="clear"/>
              </w:rPr>
              <w:t>Waste of building materials from demolition of buildings. Recycling crushed stone and sand from concrete and reinforced concrete. General requirements</w:t>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2517</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01.09.2025,</w:t>
            </w:r>
          </w:p>
          <w:p>
            <w:pPr>
              <w:pStyle w:val="TableContents"/>
              <w:bidi w:val="0"/>
              <w:spacing w:lineRule="auto" w:line="240" w:before="0" w:after="0"/>
              <w:ind w:hanging="0" w:left="0" w:right="0"/>
              <w:jc w:val="left"/>
              <w:rPr/>
            </w:pPr>
            <w:r>
              <w:fldChar w:fldCharType="begin"/>
            </w:r>
            <w:r>
              <w:rPr>
                <w:rStyle w:val="Hyperlink"/>
                <w:smallCaps w:val="false"/>
                <w:caps w:val="false"/>
                <w:sz w:val="18"/>
                <w:spacing w:val="0"/>
                <w:u w:val="none"/>
                <w:shd w:fill="auto" w:val="clear"/>
                <w:szCs w:val="18"/>
                <w:rFonts w:ascii="Arial" w:hAnsi="Arial"/>
                <w:color w:val="000000"/>
              </w:rPr>
              <w:instrText xml:space="preserve"> HYPERLINK "https://docs.cntd.ru/document/1314008523" \l "64S0IJ"</w:instrText>
            </w:r>
            <w:r>
              <w:rPr>
                <w:rStyle w:val="Hyperlink"/>
                <w:smallCaps w:val="false"/>
                <w:caps w:val="false"/>
                <w:sz w:val="18"/>
                <w:spacing w:val="0"/>
                <w:u w:val="none"/>
                <w:shd w:fill="auto" w:val="clear"/>
                <w:szCs w:val="18"/>
                <w:rFonts w:ascii="Arial" w:hAnsi="Arial"/>
                <w:color w:val="000000"/>
              </w:rPr>
              <w:fldChar w:fldCharType="separate"/>
            </w:r>
            <w:r>
              <w:rPr>
                <w:rStyle w:val="Hyperlink"/>
                <w:rFonts w:ascii="Arial" w:hAnsi="Arial"/>
                <w:caps w:val="false"/>
                <w:smallCaps w:val="false"/>
                <w:color w:val="000000"/>
                <w:spacing w:val="0"/>
                <w:sz w:val="18"/>
                <w:szCs w:val="18"/>
                <w:u w:val="none"/>
                <w:shd w:fill="auto" w:val="clear"/>
              </w:rPr>
              <w:t xml:space="preserve">№ </w:t>
            </w:r>
            <w:r>
              <w:rPr>
                <w:rStyle w:val="Hyperlink"/>
                <w:smallCaps w:val="false"/>
                <w:caps w:val="false"/>
                <w:sz w:val="18"/>
                <w:spacing w:val="0"/>
                <w:u w:val="none"/>
                <w:shd w:fill="auto" w:val="clear"/>
                <w:szCs w:val="18"/>
                <w:rFonts w:ascii="Arial" w:hAnsi="Arial"/>
                <w:color w:val="000000"/>
              </w:rPr>
              <w:fldChar w:fldCharType="end"/>
            </w:r>
            <w:r>
              <w:rPr>
                <w:rStyle w:val="Hyperlink"/>
                <w:rFonts w:ascii="Arial" w:hAnsi="Arial"/>
                <w:b w:val="false"/>
                <w:i w:val="false"/>
                <w:caps w:val="false"/>
                <w:smallCaps w:val="false"/>
                <w:color w:val="000000"/>
                <w:spacing w:val="0"/>
                <w:sz w:val="18"/>
                <w:szCs w:val="18"/>
                <w:u w:val="none"/>
                <w:shd w:fill="auto" w:val="clear"/>
              </w:rPr>
              <w:t>979-st</w:t>
            </w:r>
          </w:p>
        </w:tc>
        <w:tc>
          <w:tcPr>
            <w:tcW w:w="3956"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b/>
                <w:bCs/>
                <w:color w:val="000000"/>
                <w:sz w:val="18"/>
                <w:szCs w:val="18"/>
                <w:shd w:fill="auto" w:val="clear"/>
              </w:rPr>
              <w:t>Standard</w:t>
            </w:r>
          </w:p>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shd w:fill="auto" w:val="clear"/>
              </w:rPr>
              <w:t>GOST R 72256-2025.</w:t>
            </w:r>
          </w:p>
          <w:p>
            <w:pPr>
              <w:pStyle w:val="TableContents"/>
              <w:bidi w:val="0"/>
              <w:spacing w:lineRule="auto" w:line="240" w:before="0" w:after="0"/>
              <w:ind w:hanging="0" w:left="0" w:right="0"/>
              <w:jc w:val="left"/>
              <w:rPr>
                <w:rFonts w:ascii="Arial" w:hAnsi="Arial"/>
                <w:sz w:val="18"/>
                <w:szCs w:val="18"/>
              </w:rPr>
            </w:pPr>
            <w:bookmarkStart w:id="7" w:name="P0009_Copy_3"/>
            <w:bookmarkEnd w:id="7"/>
            <w:r>
              <w:rPr>
                <w:rFonts w:ascii="Arial" w:hAnsi="Arial"/>
                <w:b w:val="false"/>
                <w:i w:val="false"/>
                <w:caps w:val="false"/>
                <w:smallCaps w:val="false"/>
                <w:color w:val="000000"/>
                <w:spacing w:val="0"/>
                <w:sz w:val="18"/>
                <w:szCs w:val="18"/>
                <w:shd w:fill="auto" w:val="clear"/>
              </w:rPr>
              <w:t>Construction dry mixes based on cement binder. Specifcations</w:t>
            </w:r>
          </w:p>
          <w:p>
            <w:pPr>
              <w:pStyle w:val="BodyText"/>
              <w:bidi w:val="0"/>
              <w:spacing w:lineRule="auto" w:line="240" w:before="0" w:after="0"/>
              <w:ind w:hanging="0" w:left="0"/>
              <w:jc w:val="left"/>
              <w:rPr>
                <w:rFonts w:ascii="Arial" w:hAnsi="Arial"/>
                <w:sz w:val="18"/>
                <w:szCs w:val="18"/>
              </w:rPr>
            </w:pPr>
            <w:r>
              <w:rPr>
                <w:rFonts w:ascii="Arial" w:hAnsi="Arial"/>
                <w:color w:val="000000"/>
                <w:sz w:val="18"/>
                <w:szCs w:val="18"/>
                <w:shd w:fill="auto" w:val="clear"/>
              </w:rPr>
              <w:br/>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3824</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r>
        <w:trPr/>
        <w:tc>
          <w:tcPr>
            <w:tcW w:w="458" w:type="dxa"/>
            <w:tcBorders>
              <w:left w:val="single" w:sz="4" w:space="0" w:color="000000"/>
              <w:bottom w:val="single" w:sz="4" w:space="0" w:color="000000"/>
            </w:tcBorders>
          </w:tcPr>
          <w:p>
            <w:pPr>
              <w:pStyle w:val="TableContents"/>
              <w:widowControl w:val="false"/>
              <w:numPr>
                <w:ilvl w:val="0"/>
                <w:numId w:val="2"/>
              </w:numPr>
              <w:bidi w:val="0"/>
              <w:spacing w:lineRule="auto" w:line="240" w:before="0" w:after="0"/>
              <w:ind w:hanging="0" w:left="0" w:right="0"/>
              <w:jc w:val="left"/>
              <w:rPr>
                <w:rFonts w:ascii="Arial" w:hAnsi="Arial" w:eastAsia="Calibri" w:cs="Arial"/>
                <w:b w:val="false"/>
                <w:bCs w:val="false"/>
                <w:color w:val="000000"/>
                <w:kern w:val="0"/>
                <w:sz w:val="18"/>
                <w:szCs w:val="18"/>
                <w:u w:val="none"/>
                <w:shd w:fill="auto" w:val="clear"/>
                <w:lang w:val="en-US" w:eastAsia="en-US" w:bidi="ar-SA"/>
              </w:rPr>
            </w:pPr>
            <w:r>
              <w:rPr>
                <w:rFonts w:eastAsia="Calibri" w:cs="Arial" w:ascii="Arial" w:hAnsi="Arial"/>
                <w:b w:val="false"/>
                <w:bCs w:val="false"/>
                <w:color w:val="000000"/>
                <w:kern w:val="0"/>
                <w:sz w:val="18"/>
                <w:szCs w:val="18"/>
                <w:u w:val="none"/>
                <w:shd w:fill="auto" w:val="clear"/>
                <w:lang w:val="en-US" w:eastAsia="en-US" w:bidi="ar-SA"/>
              </w:rPr>
            </w:r>
          </w:p>
        </w:tc>
        <w:tc>
          <w:tcPr>
            <w:tcW w:w="1850" w:type="dxa"/>
            <w:tcBorders>
              <w:left w:val="single" w:sz="4" w:space="0" w:color="000000"/>
              <w:bottom w:val="single" w:sz="4" w:space="0" w:color="000000"/>
            </w:tcBorders>
          </w:tcPr>
          <w:p>
            <w:pPr>
              <w:pStyle w:val="TableContents"/>
              <w:bidi w:val="0"/>
              <w:spacing w:lineRule="auto" w:line="240" w:before="0" w:after="0"/>
              <w:ind w:hanging="0" w:left="0" w:right="0"/>
              <w:jc w:val="left"/>
              <w:rPr>
                <w:rFonts w:ascii="Arial" w:hAnsi="Arial"/>
                <w:sz w:val="18"/>
                <w:szCs w:val="18"/>
              </w:rPr>
            </w:pPr>
            <w:r>
              <w:rPr>
                <w:rFonts w:ascii="Arial" w:hAnsi="Arial"/>
                <w:color w:val="000000"/>
                <w:sz w:val="18"/>
                <w:szCs w:val="18"/>
                <w:u w:val="none"/>
                <w:shd w:fill="auto" w:val="clear"/>
              </w:rPr>
              <w:t>Rosstandart, 12.09.2025,</w:t>
            </w:r>
          </w:p>
          <w:p>
            <w:pPr>
              <w:pStyle w:val="TableContents"/>
              <w:bidi w:val="0"/>
              <w:spacing w:lineRule="auto" w:line="240" w:before="0" w:after="0"/>
              <w:ind w:hanging="0" w:left="0" w:right="0"/>
              <w:jc w:val="left"/>
              <w:rPr/>
            </w:pPr>
            <w:r>
              <w:fldChar w:fldCharType="begin"/>
            </w:r>
            <w:r>
              <w:rPr>
                <w:rStyle w:val="Hyperlink"/>
                <w:smallCaps w:val="false"/>
                <w:caps w:val="false"/>
                <w:sz w:val="18"/>
                <w:spacing w:val="0"/>
                <w:u w:val="none"/>
                <w:shd w:fill="auto" w:val="clear"/>
                <w:szCs w:val="18"/>
                <w:rFonts w:ascii="Arial" w:hAnsi="Arial"/>
                <w:color w:val="000000"/>
              </w:rPr>
              <w:instrText xml:space="preserve"> HYPERLINK "https://docs.cntd.ru/document/1314051673" \l "64S0IJ"</w:instrText>
            </w:r>
            <w:r>
              <w:rPr>
                <w:rStyle w:val="Hyperlink"/>
                <w:smallCaps w:val="false"/>
                <w:caps w:val="false"/>
                <w:sz w:val="18"/>
                <w:spacing w:val="0"/>
                <w:u w:val="none"/>
                <w:shd w:fill="auto" w:val="clear"/>
                <w:szCs w:val="18"/>
                <w:rFonts w:ascii="Arial" w:hAnsi="Arial"/>
                <w:color w:val="000000"/>
              </w:rPr>
              <w:fldChar w:fldCharType="separate"/>
            </w:r>
            <w:r>
              <w:rPr>
                <w:rStyle w:val="Hyperlink"/>
                <w:rFonts w:ascii="Arial" w:hAnsi="Arial"/>
                <w:caps w:val="false"/>
                <w:smallCaps w:val="false"/>
                <w:color w:val="000000"/>
                <w:spacing w:val="0"/>
                <w:sz w:val="18"/>
                <w:szCs w:val="18"/>
                <w:u w:val="none"/>
                <w:shd w:fill="auto" w:val="clear"/>
              </w:rPr>
              <w:t xml:space="preserve">№ </w:t>
            </w:r>
            <w:r>
              <w:rPr>
                <w:rStyle w:val="Hyperlink"/>
                <w:smallCaps w:val="false"/>
                <w:caps w:val="false"/>
                <w:sz w:val="18"/>
                <w:spacing w:val="0"/>
                <w:u w:val="none"/>
                <w:shd w:fill="auto" w:val="clear"/>
                <w:szCs w:val="18"/>
                <w:rFonts w:ascii="Arial" w:hAnsi="Arial"/>
                <w:color w:val="000000"/>
              </w:rPr>
              <w:fldChar w:fldCharType="end"/>
            </w:r>
            <w:r>
              <w:rPr>
                <w:rStyle w:val="Hyperlink"/>
                <w:rFonts w:ascii="Arial" w:hAnsi="Arial"/>
                <w:b w:val="false"/>
                <w:i w:val="false"/>
                <w:caps w:val="false"/>
                <w:smallCaps w:val="false"/>
                <w:color w:val="000000"/>
                <w:spacing w:val="0"/>
                <w:sz w:val="18"/>
                <w:szCs w:val="18"/>
                <w:u w:val="none"/>
                <w:shd w:fill="auto" w:val="clear"/>
              </w:rPr>
              <w:t>1028-st</w:t>
            </w:r>
          </w:p>
        </w:tc>
        <w:tc>
          <w:tcPr>
            <w:tcW w:w="3956" w:type="dxa"/>
            <w:tcBorders>
              <w:left w:val="single" w:sz="4" w:space="0" w:color="000000"/>
              <w:bottom w:val="single" w:sz="4" w:space="0" w:color="000000"/>
            </w:tcBorders>
          </w:tcPr>
          <w:p>
            <w:pPr>
              <w:pStyle w:val="TableContents"/>
              <w:widowControl w:val="false"/>
              <w:bidi w:val="0"/>
              <w:spacing w:lineRule="auto" w:line="240" w:before="0" w:after="0"/>
              <w:ind w:hanging="0" w:left="0" w:right="0"/>
              <w:jc w:val="left"/>
              <w:rPr>
                <w:rFonts w:ascii="Arial" w:hAnsi="Arial"/>
                <w:sz w:val="18"/>
                <w:szCs w:val="18"/>
              </w:rPr>
            </w:pPr>
            <w:r>
              <w:rPr>
                <w:rFonts w:ascii="Arial" w:hAnsi="Arial"/>
                <w:b/>
                <w:bCs/>
                <w:sz w:val="18"/>
                <w:szCs w:val="18"/>
              </w:rPr>
              <w:t>Standard</w:t>
            </w:r>
          </w:p>
          <w:p>
            <w:pPr>
              <w:pStyle w:val="TableContents"/>
              <w:bidi w:val="0"/>
              <w:spacing w:lineRule="auto" w:line="240" w:before="0" w:after="0"/>
              <w:ind w:hanging="0" w:left="0"/>
              <w:jc w:val="left"/>
              <w:rPr>
                <w:rFonts w:ascii="Arial" w:hAnsi="Arial"/>
                <w:sz w:val="18"/>
                <w:szCs w:val="18"/>
              </w:rPr>
            </w:pPr>
            <w:r>
              <w:rPr>
                <w:rFonts w:ascii="Arial" w:hAnsi="Arial"/>
                <w:color w:val="000000"/>
                <w:sz w:val="18"/>
                <w:szCs w:val="18"/>
                <w:shd w:fill="auto" w:val="clear"/>
              </w:rPr>
              <w:t>GOST R 72277-2025.</w:t>
            </w:r>
          </w:p>
          <w:p>
            <w:pPr>
              <w:pStyle w:val="TableContents"/>
              <w:bidi w:val="0"/>
              <w:spacing w:lineRule="auto" w:line="240" w:before="0" w:after="0"/>
              <w:ind w:hanging="0" w:left="0"/>
              <w:jc w:val="left"/>
              <w:rPr>
                <w:rFonts w:ascii="Arial" w:hAnsi="Arial"/>
                <w:sz w:val="18"/>
                <w:szCs w:val="18"/>
              </w:rPr>
            </w:pPr>
            <w:bookmarkStart w:id="8" w:name="P0009_Copy_4"/>
            <w:bookmarkEnd w:id="8"/>
            <w:r>
              <w:rPr>
                <w:rFonts w:ascii="Arial" w:hAnsi="Arial"/>
                <w:b w:val="false"/>
                <w:i w:val="false"/>
                <w:caps w:val="false"/>
                <w:smallCaps w:val="false"/>
                <w:color w:val="000000"/>
                <w:spacing w:val="0"/>
                <w:sz w:val="18"/>
                <w:szCs w:val="18"/>
                <w:shd w:fill="auto" w:val="clear"/>
              </w:rPr>
              <w:t>Swellable profiles for waterproofing of joints and utility lines entries in reinforced cast-in-place concrete. General specifications</w:t>
            </w:r>
          </w:p>
          <w:p>
            <w:pPr>
              <w:pStyle w:val="BodyText"/>
              <w:bidi w:val="0"/>
              <w:spacing w:lineRule="auto" w:line="240" w:before="0" w:after="0"/>
              <w:ind w:hanging="0" w:left="0"/>
              <w:jc w:val="left"/>
              <w:rPr>
                <w:rFonts w:ascii="Arial" w:hAnsi="Arial"/>
                <w:sz w:val="18"/>
                <w:szCs w:val="18"/>
              </w:rPr>
            </w:pPr>
            <w:r>
              <w:rPr>
                <w:rFonts w:ascii="Arial" w:hAnsi="Arial"/>
                <w:color w:val="000000"/>
                <w:sz w:val="18"/>
                <w:szCs w:val="18"/>
                <w:shd w:fill="auto" w:val="clear"/>
              </w:rPr>
              <w:br/>
            </w:r>
          </w:p>
        </w:tc>
        <w:tc>
          <w:tcPr>
            <w:tcW w:w="719"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3824</w:t>
            </w:r>
          </w:p>
        </w:tc>
        <w:tc>
          <w:tcPr>
            <w:tcW w:w="117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01/07/2026</w:t>
            </w:r>
          </w:p>
        </w:tc>
        <w:tc>
          <w:tcPr>
            <w:tcW w:w="2050"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right="0"/>
              <w:jc w:val="left"/>
              <w:rPr/>
            </w:pPr>
            <w:r>
              <w:rPr>
                <w:rStyle w:val="SourceText"/>
                <w:rFonts w:eastAsia="Calibri" w:cs="Arial" w:ascii="Arial" w:hAnsi="Arial"/>
                <w:b w:val="false"/>
                <w:bCs w:val="false"/>
                <w:color w:val="000000"/>
                <w:kern w:val="0"/>
                <w:sz w:val="18"/>
                <w:szCs w:val="18"/>
                <w:u w:val="none"/>
                <w:shd w:fill="auto" w:val="clear"/>
                <w:lang w:val="en-US" w:eastAsia="en-US" w:bidi="ar-SA"/>
              </w:rPr>
              <w:t>Compliance with standards may be important for suppliers of products and services</w:t>
            </w:r>
          </w:p>
        </w:tc>
      </w:tr>
    </w:tbl>
    <w:p>
      <w:pPr>
        <w:pStyle w:val="Normal"/>
        <w:numPr>
          <w:ilvl w:val="0"/>
          <w:numId w:val="0"/>
        </w:numPr>
        <w:bidi w:val="0"/>
        <w:spacing w:lineRule="auto" w:line="240" w:before="0" w:after="0"/>
        <w:ind w:hanging="0" w:left="0" w:right="0"/>
        <w:jc w:val="both"/>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d. Any other Alerts on trade defense measures taken by respective country:</w:t>
        <w:tab/>
      </w:r>
    </w:p>
    <w:p>
      <w:pPr>
        <w:pStyle w:val="Normal"/>
        <w:bidi w:val="0"/>
        <w:spacing w:lineRule="auto" w:line="240" w:before="0" w:after="0"/>
        <w:ind w:hanging="0" w:left="0" w:right="0"/>
        <w:jc w:val="left"/>
        <w:rPr>
          <w:rFonts w:ascii="Arial" w:hAnsi="Arial"/>
          <w:sz w:val="18"/>
          <w:szCs w:val="18"/>
        </w:rPr>
      </w:pPr>
      <w:r>
        <w:rPr>
          <w:rFonts w:ascii="Arial" w:hAnsi="Arial"/>
          <w:i/>
          <w:sz w:val="18"/>
          <w:szCs w:val="18"/>
        </w:rPr>
        <w:t>(Safeguards including special safeguard, antidumping, CVD or anti- subsidy)</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80" w:type="dxa"/>
        <w:jc w:val="left"/>
        <w:tblInd w:w="91" w:type="dxa"/>
        <w:tblLayout w:type="fixed"/>
        <w:tblCellMar>
          <w:top w:w="0" w:type="dxa"/>
          <w:left w:w="108" w:type="dxa"/>
          <w:bottom w:w="0" w:type="dxa"/>
          <w:right w:w="108" w:type="dxa"/>
        </w:tblCellMar>
      </w:tblPr>
      <w:tblGrid>
        <w:gridCol w:w="650"/>
        <w:gridCol w:w="2563"/>
        <w:gridCol w:w="6867"/>
      </w:tblGrid>
      <w:tr>
        <w:trPr>
          <w:trHeight w:val="369" w:hRule="atLeast"/>
        </w:trPr>
        <w:tc>
          <w:tcPr>
            <w:tcW w:w="650"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S. No.</w:t>
            </w:r>
          </w:p>
        </w:tc>
        <w:tc>
          <w:tcPr>
            <w:tcW w:w="2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ascii="Arial" w:hAnsi="Arial"/>
                <w:b/>
                <w:i w:val="false"/>
                <w:caps w:val="false"/>
                <w:smallCaps w:val="false"/>
                <w:color w:val="000000"/>
                <w:spacing w:val="0"/>
                <w:sz w:val="18"/>
                <w:szCs w:val="18"/>
                <w:shd w:fill="auto" w:val="clear"/>
              </w:rPr>
              <w:t>Measure</w:t>
            </w:r>
          </w:p>
        </w:tc>
        <w:tc>
          <w:tcPr>
            <w:tcW w:w="68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Details</w:t>
            </w:r>
          </w:p>
        </w:tc>
      </w:tr>
      <w:tr>
        <w:trPr>
          <w:trHeight w:val="281" w:hRule="atLeast"/>
        </w:trPr>
        <w:tc>
          <w:tcPr>
            <w:tcW w:w="650" w:type="dxa"/>
            <w:tcBorders>
              <w:left w:val="single" w:sz="4" w:space="0" w:color="000000"/>
              <w:bottom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color w:val="000000"/>
                <w:kern w:val="0"/>
                <w:sz w:val="18"/>
                <w:szCs w:val="18"/>
                <w:shd w:fill="auto" w:val="clear"/>
                <w:lang w:val="en-US" w:eastAsia="en-US" w:bidi="ar-SA"/>
              </w:rPr>
              <w:t>1</w:t>
            </w:r>
          </w:p>
        </w:tc>
        <w:tc>
          <w:tcPr>
            <w:tcW w:w="256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color w:val="000000"/>
                <w:kern w:val="0"/>
                <w:sz w:val="18"/>
                <w:szCs w:val="18"/>
                <w:shd w:fill="auto" w:val="clear"/>
                <w:lang w:val="en-US" w:eastAsia="en-US" w:bidi="ar-SA"/>
              </w:rPr>
              <w:t>NA</w:t>
            </w:r>
          </w:p>
        </w:tc>
        <w:tc>
          <w:tcPr>
            <w:tcW w:w="686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color w:val="000000"/>
                <w:kern w:val="0"/>
                <w:sz w:val="18"/>
                <w:szCs w:val="18"/>
                <w:shd w:fill="auto" w:val="clear"/>
                <w:lang w:val="en-US" w:eastAsia="en-US" w:bidi="ar-SA"/>
              </w:rPr>
              <w:t>NA</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9017" w:type="dxa"/>
        <w:jc w:val="left"/>
        <w:tblInd w:w="1116" w:type="dxa"/>
        <w:tblLayout w:type="fixed"/>
        <w:tblCellMar>
          <w:top w:w="0" w:type="dxa"/>
          <w:left w:w="108" w:type="dxa"/>
          <w:bottom w:w="0" w:type="dxa"/>
          <w:right w:w="108" w:type="dxa"/>
        </w:tblCellMar>
      </w:tblPr>
      <w:tblGrid>
        <w:gridCol w:w="1980"/>
        <w:gridCol w:w="7037"/>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3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pPr>
            <w:r>
              <w:rPr>
                <w:rStyle w:val="Hyperlink"/>
                <w:rFonts w:eastAsia="Calibri" w:cs="Arial" w:ascii="Arial" w:hAnsi="Arial"/>
                <w:i/>
                <w:iCs/>
                <w:color w:val="000000"/>
                <w:kern w:val="0"/>
                <w:sz w:val="18"/>
                <w:szCs w:val="18"/>
                <w:u w:val="none"/>
                <w:shd w:fill="auto" w:val="clear"/>
                <w:lang w:val="en-US" w:eastAsia="en-US" w:bidi="ar-SA"/>
              </w:rPr>
              <w:t>“</w:t>
            </w:r>
            <w:r>
              <w:rPr>
                <w:rStyle w:val="Hyperlink"/>
                <w:rFonts w:eastAsia="Calibri" w:cs="Arial" w:ascii="Arial" w:hAnsi="Arial"/>
                <w:i/>
                <w:iCs/>
                <w:color w:val="000000"/>
                <w:kern w:val="0"/>
                <w:sz w:val="18"/>
                <w:szCs w:val="18"/>
                <w:u w:val="none"/>
                <w:shd w:fill="auto" w:val="clear"/>
                <w:lang w:val="en-US" w:eastAsia="en-US" w:bidi="ar-SA"/>
              </w:rPr>
              <w:t xml:space="preserve">Consultant” database </w:t>
            </w:r>
            <w:hyperlink r:id="rId3">
              <w:r>
                <w:rPr>
                  <w:rStyle w:val="Hyperlink"/>
                  <w:rFonts w:eastAsia="Calibri" w:cs="Arial" w:ascii="Arial" w:hAnsi="Arial"/>
                  <w:i/>
                  <w:iCs/>
                  <w:color w:val="000000"/>
                  <w:kern w:val="0"/>
                  <w:sz w:val="18"/>
                  <w:szCs w:val="18"/>
                  <w:u w:val="single"/>
                  <w:shd w:fill="auto" w:val="clear"/>
                  <w:lang w:val="en-US" w:eastAsia="en-US" w:bidi="ar-SA"/>
                </w:rPr>
                <w:t>https://www.consultant.ru</w:t>
              </w:r>
            </w:hyperlink>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e. Alert on services, regulatory regime, qualification requirement, licensing procedures, visa regime, barriers etc.</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27" w:type="dxa"/>
        <w:jc w:val="left"/>
        <w:tblInd w:w="112" w:type="dxa"/>
        <w:tblLayout w:type="fixed"/>
        <w:tblCellMar>
          <w:top w:w="0" w:type="dxa"/>
          <w:left w:w="108" w:type="dxa"/>
          <w:bottom w:w="0" w:type="dxa"/>
          <w:right w:w="108" w:type="dxa"/>
        </w:tblCellMar>
      </w:tblPr>
      <w:tblGrid>
        <w:gridCol w:w="557"/>
        <w:gridCol w:w="2435"/>
        <w:gridCol w:w="987"/>
        <w:gridCol w:w="1495"/>
        <w:gridCol w:w="4553"/>
      </w:tblGrid>
      <w:tr>
        <w:trPr>
          <w:trHeight w:val="432" w:hRule="atLeast"/>
        </w:trPr>
        <w:tc>
          <w:tcPr>
            <w:tcW w:w="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S No.</w:t>
            </w:r>
          </w:p>
        </w:tc>
        <w:tc>
          <w:tcPr>
            <w:tcW w:w="2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Notification no., and date or other references</w:t>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Service sectors affected</w:t>
            </w:r>
          </w:p>
        </w:tc>
        <w:tc>
          <w:tcPr>
            <w:tcW w:w="14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Effective from</w:t>
            </w:r>
          </w:p>
        </w:tc>
        <w:tc>
          <w:tcPr>
            <w:tcW w:w="4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Remarks if any</w:t>
            </w:r>
          </w:p>
        </w:tc>
      </w:tr>
      <w:tr>
        <w:trPr>
          <w:trHeight w:val="432" w:hRule="atLeast"/>
        </w:trPr>
        <w:tc>
          <w:tcPr>
            <w:tcW w:w="557"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1</w:t>
            </w:r>
          </w:p>
        </w:tc>
        <w:tc>
          <w:tcPr>
            <w:tcW w:w="243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Decree of Government of Russia No 854 of 08.07.2026</w:t>
            </w:r>
          </w:p>
        </w:tc>
        <w:tc>
          <w:tcPr>
            <w:tcW w:w="987"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Diesel fuel, marine fuel and gas oils</w:t>
            </w:r>
          </w:p>
        </w:tc>
        <w:tc>
          <w:tcPr>
            <w:tcW w:w="149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08/07/2026-</w:t>
            </w:r>
          </w:p>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31/07/2026</w:t>
            </w:r>
          </w:p>
        </w:tc>
        <w:tc>
          <w:tcPr>
            <w:tcW w:w="4553"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Russian Government applied the ban on exports of Diesel fuel, marine fuel and gas oils to producers of these products.</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9579" w:type="dxa"/>
        <w:jc w:val="left"/>
        <w:tblInd w:w="537" w:type="dxa"/>
        <w:tblLayout w:type="fixed"/>
        <w:tblCellMar>
          <w:top w:w="0" w:type="dxa"/>
          <w:left w:w="108" w:type="dxa"/>
          <w:bottom w:w="0" w:type="dxa"/>
          <w:right w:w="108" w:type="dxa"/>
        </w:tblCellMar>
      </w:tblPr>
      <w:tblGrid>
        <w:gridCol w:w="2548"/>
        <w:gridCol w:w="7031"/>
      </w:tblGrid>
      <w:tr>
        <w:trPr>
          <w:trHeight w:val="288" w:hRule="atLeast"/>
        </w:trPr>
        <w:tc>
          <w:tcPr>
            <w:tcW w:w="2548"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3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pPr>
            <w:r>
              <w:rPr>
                <w:rStyle w:val="Hyperlink"/>
                <w:rFonts w:eastAsia="Calibri" w:cs="Arial" w:ascii="Arial" w:hAnsi="Arial"/>
                <w:i w:val="false"/>
                <w:iCs w:val="false"/>
                <w:color w:val="000000"/>
                <w:kern w:val="0"/>
                <w:sz w:val="18"/>
                <w:szCs w:val="18"/>
                <w:u w:val="none"/>
                <w:shd w:fill="auto" w:val="clear"/>
                <w:lang w:val="en-US" w:eastAsia="en-US" w:bidi="ar-SA"/>
              </w:rPr>
              <w:t>Government of Russia</w:t>
            </w:r>
          </w:p>
          <w:p>
            <w:pPr>
              <w:pStyle w:val="Normal"/>
              <w:widowControl w:val="false"/>
              <w:suppressAutoHyphens w:val="true"/>
              <w:bidi w:val="0"/>
              <w:spacing w:lineRule="auto" w:line="240" w:before="0" w:after="0"/>
              <w:ind w:hanging="0" w:left="0" w:right="0"/>
              <w:jc w:val="left"/>
              <w:rPr/>
            </w:pPr>
            <w:r>
              <w:rPr>
                <w:rStyle w:val="Hyperlink"/>
                <w:rFonts w:cs="Arial" w:ascii="Arial" w:hAnsi="Arial"/>
                <w:color w:val="000000"/>
                <w:kern w:val="0"/>
                <w:sz w:val="18"/>
                <w:szCs w:val="18"/>
                <w:shd w:fill="auto" w:val="clear"/>
                <w:lang w:eastAsia="en-US" w:bidi="ar-SA"/>
              </w:rPr>
              <w:t>http://government.ru/docs/59261/</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widowControl w:val="false"/>
        <w:shd w:val="clear" w:fill="FFFFFF"/>
        <w:bidi w:val="0"/>
        <w:spacing w:lineRule="auto" w:line="240" w:before="0" w:after="0"/>
        <w:ind w:hanging="0" w:left="0" w:right="0"/>
        <w:jc w:val="left"/>
        <w:rPr>
          <w:rFonts w:ascii="Arial" w:hAnsi="Arial"/>
          <w:sz w:val="18"/>
          <w:szCs w:val="18"/>
        </w:rPr>
      </w:pPr>
      <w:r>
        <w:rPr>
          <w:rFonts w:eastAsia="Times New Roman" w:cs="Arial" w:ascii="Arial" w:hAnsi="Arial"/>
          <w:b/>
          <w:color w:val="000000"/>
          <w:sz w:val="18"/>
          <w:szCs w:val="18"/>
          <w:shd w:fill="auto" w:val="clear"/>
        </w:rPr>
        <w:t>f. Representation of trade issues</w:t>
      </w:r>
    </w:p>
    <w:p>
      <w:pPr>
        <w:pStyle w:val="Normal"/>
        <w:widowControl w:val="false"/>
        <w:shd w:val="clear" w:fill="FFFFFF"/>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209" w:type="dxa"/>
        <w:jc w:val="left"/>
        <w:tblInd w:w="55" w:type="dxa"/>
        <w:tblLayout w:type="fixed"/>
        <w:tblCellMar>
          <w:top w:w="55" w:type="dxa"/>
          <w:left w:w="55" w:type="dxa"/>
          <w:bottom w:w="55" w:type="dxa"/>
          <w:right w:w="55" w:type="dxa"/>
        </w:tblCellMar>
      </w:tblPr>
      <w:tblGrid>
        <w:gridCol w:w="506"/>
        <w:gridCol w:w="1078"/>
        <w:gridCol w:w="2069"/>
        <w:gridCol w:w="718"/>
        <w:gridCol w:w="1173"/>
        <w:gridCol w:w="1169"/>
        <w:gridCol w:w="980"/>
        <w:gridCol w:w="1380"/>
        <w:gridCol w:w="1136"/>
      </w:tblGrid>
      <w:tr>
        <w:trPr/>
        <w:tc>
          <w:tcPr>
            <w:tcW w:w="506"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S. No.</w:t>
            </w:r>
          </w:p>
        </w:tc>
        <w:tc>
          <w:tcPr>
            <w:tcW w:w="1078"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Select Issue Field*</w:t>
            </w:r>
          </w:p>
        </w:tc>
        <w:tc>
          <w:tcPr>
            <w:tcW w:w="2069"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Issues Details</w:t>
            </w:r>
          </w:p>
        </w:tc>
        <w:tc>
          <w:tcPr>
            <w:tcW w:w="718"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HS code</w:t>
            </w:r>
          </w:p>
        </w:tc>
        <w:tc>
          <w:tcPr>
            <w:tcW w:w="1173"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Products Description</w:t>
            </w:r>
          </w:p>
        </w:tc>
        <w:tc>
          <w:tcPr>
            <w:tcW w:w="1169"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Reporting Agency (India)</w:t>
            </w:r>
          </w:p>
        </w:tc>
        <w:tc>
          <w:tcPr>
            <w:tcW w:w="980"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Company/ Exporter Name if any</w:t>
            </w:r>
          </w:p>
        </w:tc>
        <w:tc>
          <w:tcPr>
            <w:tcW w:w="1380"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Status of the Issue#</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jc w:val="center"/>
              <w:rPr>
                <w:rFonts w:ascii="Arial" w:hAnsi="Arial"/>
                <w:sz w:val="18"/>
                <w:szCs w:val="18"/>
              </w:rPr>
            </w:pPr>
            <w:r>
              <w:rPr>
                <w:rFonts w:eastAsia="Times New Roman" w:cs="Arial" w:ascii="Arial" w:hAnsi="Arial"/>
                <w:b/>
                <w:bCs/>
                <w:sz w:val="18"/>
                <w:szCs w:val="18"/>
                <w:shd w:fill="auto" w:val="clear"/>
              </w:rPr>
              <w:t>Importing Country Authority name and Remarks</w:t>
            </w:r>
          </w:p>
        </w:tc>
      </w:tr>
      <w:tr>
        <w:trPr/>
        <w:tc>
          <w:tcPr>
            <w:tcW w:w="506" w:type="dxa"/>
            <w:tcBorders>
              <w:left w:val="single" w:sz="4" w:space="0" w:color="000000"/>
              <w:bottom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1</w:t>
            </w:r>
          </w:p>
        </w:tc>
        <w:tc>
          <w:tcPr>
            <w:tcW w:w="1078" w:type="dxa"/>
            <w:tcBorders>
              <w:left w:val="single" w:sz="4" w:space="0" w:color="000000"/>
              <w:bottom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Trade Dispute</w:t>
            </w:r>
          </w:p>
        </w:tc>
        <w:tc>
          <w:tcPr>
            <w:tcW w:w="2069" w:type="dxa"/>
            <w:tcBorders>
              <w:left w:val="single" w:sz="4" w:space="0" w:color="000000"/>
              <w:bottom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Indian company M/s</w:t>
            </w:r>
          </w:p>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Rikin Industries  supplied chemicals for leather processing to Russian company Ostashkov Export LLC in 2022,</w:t>
            </w:r>
          </w:p>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for the amount of Euro 78,952.50, which has not been paid till present.</w:t>
            </w:r>
          </w:p>
        </w:tc>
        <w:tc>
          <w:tcPr>
            <w:tcW w:w="718" w:type="dxa"/>
            <w:tcBorders>
              <w:left w:val="single" w:sz="4" w:space="0" w:color="000000"/>
              <w:bottom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3204</w:t>
            </w:r>
          </w:p>
        </w:tc>
        <w:tc>
          <w:tcPr>
            <w:tcW w:w="1173" w:type="dxa"/>
            <w:tcBorders>
              <w:left w:val="single" w:sz="4" w:space="0" w:color="000000"/>
              <w:bottom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Chemicals for leather treatment</w:t>
            </w:r>
          </w:p>
        </w:tc>
        <w:tc>
          <w:tcPr>
            <w:tcW w:w="1169" w:type="dxa"/>
            <w:tcBorders>
              <w:left w:val="single" w:sz="4" w:space="0" w:color="000000"/>
              <w:bottom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NA</w:t>
            </w:r>
          </w:p>
        </w:tc>
        <w:tc>
          <w:tcPr>
            <w:tcW w:w="980" w:type="dxa"/>
            <w:tcBorders>
              <w:left w:val="single" w:sz="4" w:space="0" w:color="000000"/>
              <w:bottom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Rikin Industries</w:t>
            </w:r>
          </w:p>
        </w:tc>
        <w:tc>
          <w:tcPr>
            <w:tcW w:w="1380" w:type="dxa"/>
            <w:tcBorders>
              <w:left w:val="single" w:sz="4" w:space="0" w:color="000000"/>
              <w:bottom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Reminder has been forwarded to Ministry of Industry and Trade of Russia</w:t>
            </w:r>
          </w:p>
        </w:tc>
        <w:tc>
          <w:tcPr>
            <w:tcW w:w="113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jc w:val="center"/>
              <w:rPr/>
            </w:pPr>
            <w:r>
              <w:rPr>
                <w:rStyle w:val="contentpasted2"/>
                <w:rFonts w:eastAsia="Times New Roman" w:cs="Arial" w:ascii="Arial" w:hAnsi="Arial"/>
                <w:color w:val="000000"/>
                <w:sz w:val="18"/>
                <w:szCs w:val="18"/>
                <w:shd w:fill="auto" w:val="clear"/>
                <w:lang w:val="en-IN" w:eastAsia="en-IN"/>
              </w:rPr>
              <w:t>Comments of Russian company were received and forwarded to Indian company</w:t>
            </w:r>
          </w:p>
        </w:tc>
      </w:tr>
    </w:tbl>
    <w:p>
      <w:pPr>
        <w:pStyle w:val="Normal"/>
        <w:bidi w:val="0"/>
        <w:spacing w:lineRule="auto" w:line="240" w:before="0" w:after="0"/>
        <w:ind w:hanging="0" w:left="0" w:right="0"/>
        <w:jc w:val="left"/>
        <w:rPr>
          <w:rFonts w:ascii="Arial" w:hAnsi="Arial"/>
          <w:sz w:val="18"/>
          <w:szCs w:val="18"/>
        </w:rPr>
      </w:pPr>
      <w:r>
        <w:rPr>
          <w:rFonts w:ascii="Arial" w:hAnsi="Arial"/>
          <w:b/>
          <w:bCs/>
          <w:i w:val="false"/>
          <w:iCs w:val="false"/>
          <w:sz w:val="18"/>
          <w:szCs w:val="18"/>
        </w:rPr>
        <w:t>Note</w:t>
      </w:r>
    </w:p>
    <w:p>
      <w:pPr>
        <w:pStyle w:val="Normal"/>
        <w:bidi w:val="0"/>
        <w:spacing w:lineRule="auto" w:line="240" w:before="0" w:after="0"/>
        <w:ind w:hanging="0" w:left="0" w:right="0"/>
        <w:jc w:val="left"/>
        <w:rPr>
          <w:rFonts w:ascii="Arial" w:hAnsi="Arial"/>
          <w:sz w:val="18"/>
          <w:szCs w:val="18"/>
        </w:rPr>
      </w:pPr>
      <w:r>
        <w:rPr>
          <w:rFonts w:ascii="Arial" w:hAnsi="Arial"/>
          <w:i w:val="false"/>
          <w:iCs w:val="false"/>
          <w:sz w:val="18"/>
          <w:szCs w:val="18"/>
        </w:rPr>
        <w:t>* Issue Selection Fields - Tariff/Non-Tariff Barriers/ Trade Remedies/ Customs Clearance/ Others</w:t>
      </w:r>
    </w:p>
    <w:p>
      <w:pPr>
        <w:pStyle w:val="Normal"/>
        <w:bidi w:val="0"/>
        <w:spacing w:lineRule="auto" w:line="240" w:before="0" w:after="0"/>
        <w:ind w:hanging="0" w:left="0" w:right="0"/>
        <w:jc w:val="left"/>
        <w:rPr>
          <w:rFonts w:ascii="Arial" w:hAnsi="Arial"/>
          <w:sz w:val="18"/>
          <w:szCs w:val="18"/>
        </w:rPr>
      </w:pPr>
      <w:r>
        <w:rPr>
          <w:rFonts w:ascii="Arial" w:hAnsi="Arial"/>
          <w:i w:val="false"/>
          <w:iCs w:val="false"/>
          <w:sz w:val="18"/>
          <w:szCs w:val="18"/>
        </w:rPr>
        <w:t># Status of Issue selection fields – Three fields (Forwarded to Concerned Authority/ Under Discussion/ Resolved)</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Records of E&amp;C Wing</w:t>
            </w:r>
          </w:p>
        </w:tc>
      </w:tr>
    </w:tbl>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r>
        <w:br w:type="page"/>
      </w:r>
    </w:p>
    <w:p>
      <w:pPr>
        <w:pStyle w:val="Normal"/>
        <w:numPr>
          <w:ilvl w:val="0"/>
          <w:numId w:val="0"/>
        </w:numPr>
        <w:bidi w:val="0"/>
        <w:spacing w:lineRule="auto" w:line="240" w:before="0" w:after="0"/>
        <w:ind w:hanging="0" w:left="0" w:right="0"/>
        <w:jc w:val="left"/>
        <w:outlineLvl w:val="0"/>
        <w:rPr>
          <w:rFonts w:ascii="Arial" w:hAnsi="Arial"/>
          <w:sz w:val="18"/>
          <w:szCs w:val="18"/>
        </w:rPr>
      </w:pPr>
      <w:r>
        <w:rPr>
          <w:rFonts w:cs="Arial" w:ascii="Arial" w:hAnsi="Arial"/>
          <w:b/>
          <w:color w:val="000000"/>
          <w:sz w:val="18"/>
          <w:szCs w:val="18"/>
          <w:u w:val="single"/>
          <w:shd w:fill="auto" w:val="clear"/>
        </w:rPr>
        <w:t>B.</w:t>
        <w:tab/>
        <w:t>Stakeholders’ Feedback and Action Taken</w:t>
      </w:r>
    </w:p>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p>
      <w:pPr>
        <w:pStyle w:val="Normal"/>
        <w:widowControl w:val="false"/>
        <w:shd w:val="clear" w:fill="FFFFFF"/>
        <w:bidi w:val="0"/>
        <w:spacing w:lineRule="auto" w:line="240" w:before="0" w:after="0"/>
        <w:ind w:hanging="0" w:left="0" w:right="0"/>
        <w:jc w:val="left"/>
        <w:rPr>
          <w:rFonts w:ascii="Arial" w:hAnsi="Arial"/>
          <w:sz w:val="18"/>
          <w:szCs w:val="18"/>
        </w:rPr>
      </w:pPr>
      <w:r>
        <w:rPr>
          <w:rFonts w:eastAsia="Times New Roman" w:cs="Arial" w:ascii="Arial" w:hAnsi="Arial"/>
          <w:b/>
          <w:color w:val="000000"/>
          <w:sz w:val="18"/>
          <w:szCs w:val="18"/>
          <w:shd w:fill="auto" w:val="clear"/>
        </w:rPr>
        <w:t>a. Feedback from major Indian industries/other commercial concerns and Indian trade visitors to that country</w:t>
      </w:r>
    </w:p>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tbl>
      <w:tblPr>
        <w:tblW w:w="10051" w:type="dxa"/>
        <w:jc w:val="left"/>
        <w:tblInd w:w="99" w:type="dxa"/>
        <w:tblLayout w:type="fixed"/>
        <w:tblCellMar>
          <w:top w:w="0" w:type="dxa"/>
          <w:left w:w="108" w:type="dxa"/>
          <w:bottom w:w="0" w:type="dxa"/>
          <w:right w:w="108" w:type="dxa"/>
        </w:tblCellMar>
      </w:tblPr>
      <w:tblGrid>
        <w:gridCol w:w="450"/>
        <w:gridCol w:w="1029"/>
        <w:gridCol w:w="985"/>
        <w:gridCol w:w="2925"/>
        <w:gridCol w:w="4662"/>
      </w:tblGrid>
      <w:tr>
        <w:trPr/>
        <w:tc>
          <w:tcPr>
            <w:tcW w:w="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S. No.</w:t>
            </w:r>
          </w:p>
        </w:tc>
        <w:tc>
          <w:tcPr>
            <w:tcW w:w="10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Name of the Firm/ Company</w:t>
            </w:r>
          </w:p>
        </w:tc>
        <w:tc>
          <w:tcPr>
            <w:tcW w:w="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Sector</w:t>
            </w:r>
          </w:p>
        </w:tc>
        <w:tc>
          <w:tcPr>
            <w:tcW w:w="29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Trade barrier issues if any (incl. HS codes)</w:t>
            </w:r>
          </w:p>
        </w:tc>
        <w:tc>
          <w:tcPr>
            <w:tcW w:w="46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General Feedback</w:t>
            </w:r>
          </w:p>
          <w:p>
            <w:pPr>
              <w:pStyle w:val="Normal"/>
              <w:widowControl w:val="false"/>
              <w:bidi w:val="0"/>
              <w:spacing w:lineRule="auto" w:line="240" w:before="0" w:after="0"/>
              <w:ind w:hanging="0" w:left="0" w:right="0"/>
              <w:jc w:val="both"/>
              <w:rPr>
                <w:rFonts w:ascii="Arial" w:hAnsi="Arial"/>
                <w:sz w:val="18"/>
                <w:szCs w:val="18"/>
              </w:rPr>
            </w:pPr>
            <w:r>
              <w:rPr>
                <w:rFonts w:cs="Arial" w:ascii="Arial" w:hAnsi="Arial"/>
                <w:b/>
                <w:bCs/>
                <w:color w:val="000000"/>
                <w:sz w:val="18"/>
                <w:szCs w:val="18"/>
                <w:shd w:fill="auto" w:val="clear"/>
              </w:rPr>
              <w:t>(Max.200 words)</w:t>
            </w:r>
          </w:p>
          <w:p>
            <w:pPr>
              <w:pStyle w:val="Normal"/>
              <w:widowControl w:val="false"/>
              <w:bidi w:val="0"/>
              <w:spacing w:lineRule="auto" w:line="240" w:before="0" w:after="0"/>
              <w:ind w:hanging="0" w:left="0" w:right="0"/>
              <w:jc w:val="both"/>
              <w:rPr>
                <w:rFonts w:ascii="Arial" w:hAnsi="Arial" w:cs="Arial"/>
                <w:b/>
                <w:bCs/>
                <w:color w:val="000000"/>
                <w:sz w:val="18"/>
                <w:szCs w:val="18"/>
                <w:highlight w:val="none"/>
                <w:shd w:fill="auto" w:val="clear"/>
              </w:rPr>
            </w:pPr>
            <w:r>
              <w:rPr>
                <w:rFonts w:cs="Arial" w:ascii="Arial" w:hAnsi="Arial"/>
                <w:b/>
                <w:bCs/>
                <w:color w:val="000000"/>
                <w:sz w:val="18"/>
                <w:szCs w:val="18"/>
                <w:shd w:fill="auto" w:val="clear"/>
              </w:rPr>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color w:val="000000"/>
                <w:sz w:val="18"/>
                <w:szCs w:val="18"/>
                <w:highlight w:val="none"/>
                <w:shd w:fill="auto" w:val="clear"/>
              </w:rPr>
            </w:pPr>
            <w:r>
              <w:rPr>
                <w:rFonts w:ascii="Arial" w:hAnsi="Arial"/>
                <w:color w:val="000000"/>
                <w:sz w:val="18"/>
                <w:szCs w:val="18"/>
                <w:shd w:fill="auto" w:val="clear"/>
              </w:rPr>
            </w:r>
          </w:p>
        </w:tc>
        <w:tc>
          <w:tcPr>
            <w:tcW w:w="102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sz w:val="18"/>
                <w:szCs w:val="18"/>
              </w:rPr>
              <w:t>Many companies</w:t>
            </w:r>
          </w:p>
        </w:tc>
        <w:tc>
          <w:tcPr>
            <w:tcW w:w="98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sz w:val="18"/>
                <w:szCs w:val="18"/>
              </w:rPr>
              <w:t>Multiple sectors</w:t>
            </w:r>
          </w:p>
        </w:tc>
        <w:tc>
          <w:tcPr>
            <w:tcW w:w="2925" w:type="dxa"/>
            <w:tcBorders>
              <w:left w:val="single" w:sz="4" w:space="0" w:color="000000"/>
              <w:bottom w:val="single" w:sz="4" w:space="0" w:color="000000"/>
              <w:right w:val="single" w:sz="4" w:space="0" w:color="000000"/>
            </w:tcBorders>
          </w:tcPr>
          <w:p>
            <w:pPr>
              <w:pStyle w:val="NormalWeb"/>
              <w:widowControl w:val="false"/>
              <w:spacing w:lineRule="auto" w:line="240" w:before="0" w:after="0"/>
              <w:ind w:hanging="0" w:left="0" w:right="0"/>
              <w:jc w:val="both"/>
              <w:rPr>
                <w:rFonts w:ascii="Arial" w:hAnsi="Arial"/>
                <w:sz w:val="18"/>
                <w:szCs w:val="18"/>
              </w:rPr>
            </w:pPr>
            <w:r>
              <w:rPr>
                <w:rFonts w:ascii="Arial" w:hAnsi="Arial"/>
                <w:sz w:val="18"/>
                <w:szCs w:val="18"/>
              </w:rPr>
              <w:t>NTBs</w:t>
            </w:r>
          </w:p>
        </w:tc>
        <w:tc>
          <w:tcPr>
            <w:tcW w:w="466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b w:val="false"/>
                <w:i w:val="false"/>
                <w:caps w:val="false"/>
                <w:smallCaps w:val="false"/>
                <w:color w:val="000000"/>
                <w:spacing w:val="0"/>
                <w:sz w:val="18"/>
                <w:szCs w:val="18"/>
              </w:rPr>
              <w:t>Joint Secretary, Department of Commerce met with the Director, Department of bipartite cooperation of Ministry of Economic Development of Russian Federation and handed over a non paper on NTBs on June 25, 2026.</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color w:val="000000"/>
                <w:sz w:val="18"/>
                <w:szCs w:val="18"/>
                <w:highlight w:val="none"/>
                <w:shd w:fill="auto" w:val="clear"/>
              </w:rPr>
            </w:pPr>
            <w:r>
              <w:rPr>
                <w:rFonts w:ascii="Arial" w:hAnsi="Arial"/>
                <w:color w:val="000000"/>
                <w:sz w:val="18"/>
                <w:szCs w:val="18"/>
                <w:shd w:fill="auto" w:val="clear"/>
              </w:rPr>
            </w:r>
          </w:p>
        </w:tc>
        <w:tc>
          <w:tcPr>
            <w:tcW w:w="102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sz w:val="18"/>
                <w:szCs w:val="18"/>
              </w:rPr>
              <w:t>Indian exporters of tea in common</w:t>
            </w:r>
          </w:p>
        </w:tc>
        <w:tc>
          <w:tcPr>
            <w:tcW w:w="98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sz w:val="18"/>
                <w:szCs w:val="18"/>
              </w:rPr>
              <w:t>Tea</w:t>
            </w:r>
          </w:p>
        </w:tc>
        <w:tc>
          <w:tcPr>
            <w:tcW w:w="2925" w:type="dxa"/>
            <w:tcBorders>
              <w:left w:val="single" w:sz="4" w:space="0" w:color="000000"/>
              <w:bottom w:val="single" w:sz="4" w:space="0" w:color="000000"/>
              <w:right w:val="single" w:sz="4" w:space="0" w:color="000000"/>
            </w:tcBorders>
          </w:tcPr>
          <w:p>
            <w:pPr>
              <w:pStyle w:val="NormalWeb"/>
              <w:widowControl w:val="false"/>
              <w:spacing w:lineRule="auto" w:line="240" w:before="0" w:after="0"/>
              <w:ind w:hanging="0" w:left="0" w:right="0"/>
              <w:jc w:val="both"/>
              <w:rPr>
                <w:rFonts w:ascii="Arial" w:hAnsi="Arial"/>
                <w:sz w:val="18"/>
                <w:szCs w:val="18"/>
              </w:rPr>
            </w:pPr>
            <w:r>
              <w:rPr>
                <w:rFonts w:ascii="Arial" w:hAnsi="Arial"/>
                <w:sz w:val="18"/>
                <w:szCs w:val="18"/>
              </w:rPr>
              <w:t>Adulteration of tea and branding them as Indian tea varieties.</w:t>
            </w:r>
          </w:p>
        </w:tc>
        <w:tc>
          <w:tcPr>
            <w:tcW w:w="466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b w:val="false"/>
                <w:i w:val="false"/>
                <w:caps w:val="false"/>
                <w:smallCaps w:val="false"/>
                <w:color w:val="000000"/>
                <w:spacing w:val="0"/>
                <w:sz w:val="18"/>
                <w:szCs w:val="18"/>
              </w:rPr>
              <w:t>The exporters have raised an issue of adulteration of Indian tea in the Russian Federation. The Embassy took note of the issue and arranged for a meeting with Ros patent of Russian Federation along with DoC Ministry of India to find a way to protect Indian tea. it was suggested that India Tea which is registered trademark should be used in Russian courts to press charges against fake entities and the geographical indications be registered with the Russian Rospatent</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color w:val="000000"/>
                <w:sz w:val="18"/>
                <w:szCs w:val="18"/>
                <w:highlight w:val="none"/>
                <w:shd w:fill="auto" w:val="clear"/>
              </w:rPr>
            </w:pPr>
            <w:r>
              <w:rPr>
                <w:rFonts w:ascii="Arial" w:hAnsi="Arial"/>
                <w:color w:val="000000"/>
                <w:sz w:val="18"/>
                <w:szCs w:val="18"/>
                <w:shd w:fill="auto" w:val="clear"/>
              </w:rPr>
            </w:r>
          </w:p>
        </w:tc>
        <w:tc>
          <w:tcPr>
            <w:tcW w:w="102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sz w:val="18"/>
                <w:szCs w:val="18"/>
              </w:rPr>
              <w:t>UPL</w:t>
            </w:r>
          </w:p>
        </w:tc>
        <w:tc>
          <w:tcPr>
            <w:tcW w:w="98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sz w:val="18"/>
                <w:szCs w:val="18"/>
              </w:rPr>
              <w:t>Seeds</w:t>
            </w:r>
          </w:p>
        </w:tc>
        <w:tc>
          <w:tcPr>
            <w:tcW w:w="2925" w:type="dxa"/>
            <w:tcBorders>
              <w:left w:val="single" w:sz="4" w:space="0" w:color="000000"/>
              <w:bottom w:val="single" w:sz="4" w:space="0" w:color="000000"/>
              <w:right w:val="single" w:sz="4" w:space="0" w:color="000000"/>
            </w:tcBorders>
          </w:tcPr>
          <w:p>
            <w:pPr>
              <w:pStyle w:val="NormalWeb"/>
              <w:widowControl w:val="false"/>
              <w:spacing w:lineRule="auto" w:line="240" w:before="0" w:after="0"/>
              <w:ind w:hanging="0" w:left="0" w:right="0"/>
              <w:jc w:val="both"/>
              <w:rPr>
                <w:rFonts w:ascii="Arial" w:hAnsi="Arial"/>
                <w:sz w:val="18"/>
                <w:szCs w:val="18"/>
              </w:rPr>
            </w:pPr>
            <w:r>
              <w:rPr>
                <w:rFonts w:ascii="Arial" w:hAnsi="Arial"/>
                <w:sz w:val="18"/>
                <w:szCs w:val="18"/>
              </w:rPr>
              <w:t>UPL was facing the of barriers while exporting seeds from India.</w:t>
            </w:r>
          </w:p>
        </w:tc>
        <w:tc>
          <w:tcPr>
            <w:tcW w:w="466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Arial" w:hAnsi="Arial"/>
                <w:sz w:val="18"/>
                <w:szCs w:val="18"/>
              </w:rPr>
            </w:pPr>
            <w:r>
              <w:rPr>
                <w:rFonts w:ascii="Arial" w:hAnsi="Arial"/>
                <w:sz w:val="18"/>
                <w:szCs w:val="18"/>
              </w:rPr>
              <w:t>The issue has been raised with FSVPS which required mandatory audit of seed lab for exporting seeds into Russia. The same was informed to the Ministry of Agriculture in India. The required audit of the seed lab of parent company in India has been undertaken and the result has been shared with FSVPS in form of NV.</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color w:val="000000"/>
                <w:sz w:val="18"/>
                <w:szCs w:val="18"/>
                <w:highlight w:val="none"/>
                <w:shd w:fill="auto" w:val="clear"/>
              </w:rPr>
            </w:pPr>
            <w:r>
              <w:rPr>
                <w:rFonts w:ascii="Arial" w:hAnsi="Arial"/>
                <w:color w:val="000000"/>
                <w:sz w:val="18"/>
                <w:szCs w:val="18"/>
                <w:shd w:fill="auto" w:val="clear"/>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ascii="Arial" w:hAnsi="Arial"/>
                <w:color w:val="000000"/>
                <w:sz w:val="18"/>
                <w:szCs w:val="18"/>
                <w:shd w:fill="auto" w:val="clear"/>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Dairy products, cheese</w:t>
            </w:r>
          </w:p>
        </w:tc>
        <w:tc>
          <w:tcPr>
            <w:tcW w:w="2925" w:type="dxa"/>
            <w:tcBorders>
              <w:left w:val="single" w:sz="4" w:space="0" w:color="000000"/>
              <w:bottom w:val="single" w:sz="4" w:space="0" w:color="000000"/>
              <w:right w:val="single" w:sz="4" w:space="0" w:color="000000"/>
            </w:tcBorders>
          </w:tcPr>
          <w:p>
            <w:pPr>
              <w:pStyle w:val="NormalWeb"/>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Dairy products HS0406</w:t>
            </w:r>
          </w:p>
          <w:p>
            <w:pPr>
              <w:pStyle w:val="NormalWeb"/>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Delay in listing of a number of Indian dairy producers.</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Prohibition of dairy from facilities not pre-approved by FSVPS. FSVPS approved two dairy plants after a November 2014 physical inspection but kept them suspended until Apr 2023. In 2024, India sought listing of six EIC-approved plants; FSVPS listed only one with a "special requirement" and is withholding the rest pending fresh physical inspections. As of now 11 dairy establishments await listing on the FSVPS website. There is a need for listing within a period of 3 months and completing inspections within that timeframe.</w:t>
            </w:r>
          </w:p>
          <w:p>
            <w:pPr>
              <w:pStyle w:val="Normal"/>
              <w:widowControl w:val="false"/>
              <w:bidi w:val="0"/>
              <w:spacing w:lineRule="auto" w:line="240" w:before="0" w:after="0"/>
              <w:ind w:hanging="0" w:left="0" w:right="0"/>
              <w:jc w:val="both"/>
              <w:rPr>
                <w:rFonts w:ascii="Arial" w:hAnsi="Arial"/>
                <w:color w:val="000000"/>
                <w:sz w:val="18"/>
                <w:szCs w:val="18"/>
                <w:highlight w:val="none"/>
                <w:shd w:fill="auto" w:val="clear"/>
              </w:rPr>
            </w:pPr>
            <w:r>
              <w:rPr>
                <w:rFonts w:ascii="Arial" w:hAnsi="Arial"/>
                <w:color w:val="000000"/>
                <w:sz w:val="18"/>
                <w:szCs w:val="18"/>
                <w:shd w:fill="auto" w:val="clear"/>
              </w:rPr>
            </w:r>
          </w:p>
          <w:p>
            <w:pPr>
              <w:pStyle w:val="Normal"/>
              <w:widowControl w:val="false"/>
              <w:bidi w:val="0"/>
              <w:spacing w:lineRule="auto" w:line="240" w:before="0" w:after="0"/>
              <w:ind w:hanging="0" w:left="0" w:right="0"/>
              <w:jc w:val="both"/>
              <w:rPr>
                <w:rFonts w:ascii="Arial" w:hAnsi="Arial"/>
                <w:sz w:val="18"/>
                <w:szCs w:val="18"/>
              </w:rPr>
            </w:pPr>
            <w:r>
              <w:rPr>
                <w:rFonts w:eastAsia="Calibri" w:cs="Times New Roman" w:ascii="Arial" w:hAnsi="Arial"/>
                <w:color w:val="000000"/>
                <w:kern w:val="0"/>
                <w:sz w:val="18"/>
                <w:szCs w:val="18"/>
                <w:shd w:fill="auto" w:val="clear"/>
                <w:lang w:val="en-US" w:eastAsia="en-US" w:bidi="ar-SA"/>
              </w:rPr>
              <w:t>On 21 October 2025, t</w:t>
            </w:r>
            <w:r>
              <w:rPr>
                <w:rFonts w:eastAsia="Calibri" w:cs="Times New Roman" w:ascii="Arial" w:hAnsi="Arial"/>
                <w:b w:val="false"/>
                <w:bCs w:val="false"/>
                <w:color w:val="000000"/>
                <w:kern w:val="0"/>
                <w:sz w:val="18"/>
                <w:szCs w:val="18"/>
                <w:shd w:fill="auto" w:val="clear"/>
                <w:lang w:val="en-US" w:eastAsia="en-US" w:bidi="ar-SA"/>
              </w:rPr>
              <w:t>he FSVPS has registered new enterprises 6 dairy and the inspection of 11 dairy enterprises is undergoing since 27 October 2025.</w:t>
            </w:r>
          </w:p>
          <w:p>
            <w:pPr>
              <w:pStyle w:val="NormalWeb"/>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Indian side proposed that a system based approach should be followed by the FSVPS in place of individual enterprise based audit for the registration for export to the Russian Federation.</w:t>
            </w:r>
          </w:p>
          <w:p>
            <w:pPr>
              <w:pStyle w:val="NormalWeb"/>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During the meeting with JS(FTCIS) on 14</w:t>
            </w:r>
            <w:r>
              <w:rPr>
                <w:rFonts w:eastAsia="Times New Roman" w:cs="Times New Roman" w:ascii="Arial" w:hAnsi="Arial"/>
                <w:b w:val="false"/>
                <w:bCs w:val="false"/>
                <w:color w:val="000000"/>
                <w:kern w:val="0"/>
                <w:sz w:val="18"/>
                <w:szCs w:val="18"/>
                <w:shd w:fill="auto" w:val="clear"/>
                <w:vertAlign w:val="superscript"/>
                <w:lang w:val="en-IN" w:eastAsia="en-IN" w:bidi="ar-SA"/>
              </w:rPr>
              <w:t>th</w:t>
            </w:r>
            <w:r>
              <w:rPr>
                <w:rFonts w:eastAsia="Times New Roman" w:cs="Times New Roman" w:ascii="Arial" w:hAnsi="Arial"/>
                <w:b w:val="false"/>
                <w:bCs w:val="false"/>
                <w:color w:val="000000"/>
                <w:kern w:val="0"/>
                <w:sz w:val="18"/>
                <w:szCs w:val="18"/>
                <w:shd w:fill="auto" w:val="clear"/>
                <w:lang w:val="en-IN" w:eastAsia="en-IN" w:bidi="ar-SA"/>
              </w:rPr>
              <w:t xml:space="preserve"> November 2025, the representatives of FSVPS requested to share additional documents including National control plan for Dairy, list of veterinary medicinal products and National Fisheries Surveillance results of 2023-25, for further information related inspection carried out in October – November.</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color w:val="000000"/>
                <w:sz w:val="18"/>
                <w:szCs w:val="18"/>
                <w:highlight w:val="none"/>
                <w:shd w:fill="auto" w:val="clear"/>
              </w:rPr>
            </w:pPr>
            <w:r>
              <w:rPr>
                <w:rFonts w:ascii="Arial" w:hAnsi="Arial"/>
                <w:color w:val="000000"/>
                <w:sz w:val="18"/>
                <w:szCs w:val="18"/>
                <w:shd w:fill="auto" w:val="clear"/>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ascii="Arial" w:hAnsi="Arial"/>
                <w:color w:val="000000"/>
                <w:sz w:val="18"/>
                <w:szCs w:val="18"/>
                <w:shd w:fill="auto" w:val="clear"/>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Egg products</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Egg products HS0406</w:t>
            </w:r>
          </w:p>
          <w:p>
            <w:pPr>
              <w:pStyle w:val="NormalWeb"/>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Russia has approved and listed four egg product establishments from India, significantly limiting the ability of Indian businesses to export these products.</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ascii="Arial" w:hAnsi="Arial"/>
                <w:color w:val="000000"/>
                <w:sz w:val="18"/>
                <w:szCs w:val="18"/>
                <w:shd w:fill="auto" w:val="clear"/>
              </w:rPr>
              <w:t>As per the Russian side, of 4 allowed Indian companies, only 2 are carrying out deliveries, and in minimal volumes. Russian side is ready to consider enlisting new companies in accordance with EAEU procedures.</w:t>
            </w:r>
          </w:p>
          <w:p>
            <w:pPr>
              <w:pStyle w:val="NormalWeb"/>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During the meeting with JS(FTCIS) on 14</w:t>
            </w:r>
            <w:r>
              <w:rPr>
                <w:rFonts w:eastAsia="Times New Roman" w:cs="Times New Roman" w:ascii="Arial" w:hAnsi="Arial"/>
                <w:b w:val="false"/>
                <w:bCs w:val="false"/>
                <w:color w:val="000000"/>
                <w:kern w:val="0"/>
                <w:sz w:val="18"/>
                <w:szCs w:val="18"/>
                <w:shd w:fill="auto" w:val="clear"/>
                <w:vertAlign w:val="superscript"/>
                <w:lang w:val="en-IN" w:eastAsia="en-IN" w:bidi="ar-SA"/>
              </w:rPr>
              <w:t>th</w:t>
            </w:r>
            <w:r>
              <w:rPr>
                <w:rFonts w:eastAsia="Times New Roman" w:cs="Times New Roman" w:ascii="Arial" w:hAnsi="Arial"/>
                <w:b w:val="false"/>
                <w:bCs w:val="false"/>
                <w:color w:val="000000"/>
                <w:kern w:val="0"/>
                <w:sz w:val="18"/>
                <w:szCs w:val="18"/>
                <w:shd w:fill="auto" w:val="clear"/>
                <w:lang w:val="en-IN" w:eastAsia="en-IN" w:bidi="ar-SA"/>
              </w:rPr>
              <w:t xml:space="preserve"> November 2025, the representatives of FSVPS requested to share additional documents including National control plan for Dairy, list of veterinary medicinal products and National Fisheries Surveillance results of 2023-25, for further information related inspection carried out in October – November.</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color w:val="000000"/>
                <w:sz w:val="18"/>
                <w:szCs w:val="18"/>
                <w:highlight w:val="none"/>
                <w:shd w:fill="auto" w:val="clear"/>
              </w:rPr>
            </w:pPr>
            <w:r>
              <w:rPr>
                <w:rFonts w:ascii="Arial" w:hAnsi="Arial"/>
                <w:color w:val="000000"/>
                <w:sz w:val="18"/>
                <w:szCs w:val="18"/>
                <w:shd w:fill="auto" w:val="clear"/>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ascii="Arial" w:hAnsi="Arial"/>
                <w:color w:val="000000"/>
                <w:sz w:val="18"/>
                <w:szCs w:val="18"/>
                <w:shd w:fill="auto" w:val="clear"/>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Buffalo meat</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Buffalo meat HS0202</w:t>
            </w:r>
          </w:p>
          <w:p>
            <w:pPr>
              <w:pStyle w:val="NormalWeb"/>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To date, 16 applications regarding approval of Indian buffalo meat producers remain pending.</w:t>
            </w:r>
          </w:p>
          <w:p>
            <w:pPr>
              <w:pStyle w:val="NormalWeb"/>
              <w:widowControl w:val="false"/>
              <w:bidi w:val="0"/>
              <w:spacing w:lineRule="auto" w:line="240" w:before="0" w:after="0"/>
              <w:ind w:hanging="0" w:lef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Furthermore, FSVPS is requested to lift the temporary restrictions imposed since 11.06.2015 on the following three already approved meat establishments located in the state of Uttar Pradesh:</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ascii="Arial" w:hAnsi="Arial"/>
                <w:color w:val="000000"/>
                <w:sz w:val="18"/>
                <w:szCs w:val="18"/>
                <w:shd w:fill="auto" w:val="clear"/>
              </w:rPr>
              <w:t>As per the Russian side, India does not have WOAH status allowing it to export a large range of livestock products to third countries</w:t>
            </w:r>
            <w:r>
              <w:rPr>
                <w:rFonts w:eastAsia="Calibri" w:cs="Times New Roman" w:ascii="Arial" w:hAnsi="Arial"/>
                <w:color w:val="000000"/>
                <w:kern w:val="0"/>
                <w:sz w:val="18"/>
                <w:szCs w:val="18"/>
                <w:shd w:fill="auto" w:val="clear"/>
                <w:lang w:val="en-US" w:eastAsia="en-US" w:bidi="ar-SA"/>
              </w:rPr>
              <w:t xml:space="preserve">. </w:t>
            </w:r>
            <w:r>
              <w:rPr>
                <w:rFonts w:eastAsia="Calibri" w:cs="Times New Roman" w:ascii="Arial" w:hAnsi="Arial"/>
                <w:b w:val="false"/>
                <w:bCs w:val="false"/>
                <w:color w:val="000000"/>
                <w:kern w:val="0"/>
                <w:sz w:val="18"/>
                <w:szCs w:val="18"/>
                <w:shd w:fill="auto" w:val="clear"/>
                <w:lang w:val="en-US" w:eastAsia="en-US" w:bidi="ar-SA"/>
              </w:rPr>
              <w:t>The FSVPS has registered 5 new bovine meat enterprises and lift restrictions of 2 bovine meat exporters.</w:t>
            </w:r>
          </w:p>
          <w:p>
            <w:pPr>
              <w:pStyle w:val="NormalWeb"/>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Indian side proposed that a system based approach should be followed by the FSVPS in place of individual enterprise based audit for the registration for export to the Russian Federation.</w:t>
            </w:r>
          </w:p>
          <w:p>
            <w:pPr>
              <w:pStyle w:val="NormalWeb"/>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During the meeting with JS(FTCIS) on 14</w:t>
            </w:r>
            <w:r>
              <w:rPr>
                <w:rFonts w:eastAsia="Times New Roman" w:cs="Times New Roman" w:ascii="Arial" w:hAnsi="Arial"/>
                <w:b w:val="false"/>
                <w:bCs w:val="false"/>
                <w:color w:val="000000"/>
                <w:kern w:val="0"/>
                <w:sz w:val="18"/>
                <w:szCs w:val="18"/>
                <w:shd w:fill="auto" w:val="clear"/>
                <w:vertAlign w:val="superscript"/>
                <w:lang w:val="en-IN" w:eastAsia="en-IN" w:bidi="ar-SA"/>
              </w:rPr>
              <w:t>th</w:t>
            </w:r>
            <w:r>
              <w:rPr>
                <w:rFonts w:eastAsia="Times New Roman" w:cs="Times New Roman" w:ascii="Arial" w:hAnsi="Arial"/>
                <w:b w:val="false"/>
                <w:bCs w:val="false"/>
                <w:color w:val="000000"/>
                <w:kern w:val="0"/>
                <w:sz w:val="18"/>
                <w:szCs w:val="18"/>
                <w:shd w:fill="auto" w:val="clear"/>
                <w:lang w:val="en-IN" w:eastAsia="en-IN" w:bidi="ar-SA"/>
              </w:rPr>
              <w:t xml:space="preserve"> November 2025, the representatives of FSVPS requested to share additional documents including National control plan for Dairy, list of veterinary medicinal products and National Fisheries Surveillance results of 2023-25, for further information related inspection carried out in October – November.</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Seafood</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Shrimps HS0306</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Indian exporters are unable to have their establishments listed on the FSVPS website even after being approved by EIC (only 3 were listed in 2023 and 2 in 2024, while 69 are pending).</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Revocation of suspension:</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Upon submission of investigation reports for consignments that were rejected, Russia has not revoked the suspensions and continues to keep the establishments under temporary restriction (31 units). Russia is requested to consider the investigation reports submitted by EIC and revoke the suspensions within a stipulated time frame.</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 EAM handed over a list of 69 marine enterprises awaiting registration with the FSVPs to the FDPM Denis Manturov.</w:t>
            </w:r>
          </w:p>
          <w:p>
            <w:pPr>
              <w:pStyle w:val="Normal"/>
              <w:widowControl w:val="false"/>
              <w:bidi w:val="0"/>
              <w:spacing w:lineRule="auto" w:line="240" w:before="0" w:after="0"/>
              <w:ind w:hanging="0" w:left="0" w:right="0"/>
              <w:jc w:val="both"/>
              <w:rPr>
                <w:rFonts w:ascii="Arial" w:hAnsi="Arial"/>
                <w:color w:val="000000"/>
                <w:sz w:val="18"/>
                <w:szCs w:val="18"/>
                <w:highlight w:val="none"/>
                <w:shd w:fill="auto" w:val="clear"/>
              </w:rPr>
            </w:pPr>
            <w:r>
              <w:rPr>
                <w:rFonts w:ascii="Arial" w:hAnsi="Arial"/>
                <w:color w:val="000000"/>
                <w:sz w:val="18"/>
                <w:szCs w:val="18"/>
                <w:shd w:fill="auto" w:val="clear"/>
              </w:rPr>
            </w:r>
          </w:p>
          <w:p>
            <w:pPr>
              <w:pStyle w:val="Normal"/>
              <w:widowControl w:val="false"/>
              <w:bidi w:val="0"/>
              <w:spacing w:lineRule="auto" w:line="240" w:before="0" w:after="0"/>
              <w:ind w:hanging="0" w:left="0" w:right="0"/>
              <w:jc w:val="both"/>
              <w:rPr>
                <w:rFonts w:ascii="Arial" w:hAnsi="Arial"/>
                <w:sz w:val="18"/>
                <w:szCs w:val="18"/>
              </w:rPr>
            </w:pPr>
            <w:r>
              <w:rPr>
                <w:rFonts w:eastAsia="Calibri" w:cs="Times New Roman" w:ascii="Arial" w:hAnsi="Arial"/>
                <w:color w:val="000000"/>
                <w:kern w:val="0"/>
                <w:sz w:val="18"/>
                <w:szCs w:val="18"/>
                <w:shd w:fill="auto" w:val="clear"/>
                <w:lang w:val="en-US" w:eastAsia="en-US" w:bidi="ar-SA"/>
              </w:rPr>
              <w:t>On 21 October 2025, t</w:t>
            </w:r>
            <w:r>
              <w:rPr>
                <w:rFonts w:eastAsia="Calibri" w:cs="Times New Roman" w:ascii="Arial" w:hAnsi="Arial"/>
                <w:b w:val="false"/>
                <w:bCs w:val="false"/>
                <w:color w:val="000000"/>
                <w:kern w:val="0"/>
                <w:sz w:val="18"/>
                <w:szCs w:val="18"/>
                <w:shd w:fill="auto" w:val="clear"/>
                <w:lang w:val="en-US" w:eastAsia="en-US" w:bidi="ar-SA"/>
              </w:rPr>
              <w:t>he FSVPS agreed to register new enterprises- 19 marine enterprises and expanded the scope of products of 1 additional enterprise. These enterprises are also mentioned in EAM’s letter. The FSVPS has started inspection of 10 random marine enterprises on 27 October 2025 in order to register all marine enterprises mentioned in the letter handed over by EAM.</w:t>
            </w:r>
          </w:p>
          <w:p>
            <w:pPr>
              <w:pStyle w:val="Normal"/>
              <w:widowControl w:val="false"/>
              <w:bidi w:val="0"/>
              <w:spacing w:lineRule="auto" w:line="240" w:before="0" w:after="0"/>
              <w:ind w:hanging="0" w:left="0" w:right="0"/>
              <w:jc w:val="both"/>
              <w:rPr>
                <w:rFonts w:ascii="Arial" w:hAnsi="Arial"/>
                <w:sz w:val="18"/>
                <w:szCs w:val="18"/>
              </w:rPr>
            </w:pPr>
            <w:r>
              <w:rPr>
                <w:rFonts w:eastAsia="Calibri" w:cs="Times New Roman" w:ascii="Arial" w:hAnsi="Arial"/>
                <w:b w:val="false"/>
                <w:bCs w:val="false"/>
                <w:color w:val="000000"/>
                <w:kern w:val="0"/>
                <w:sz w:val="18"/>
                <w:szCs w:val="18"/>
                <w:shd w:fill="auto" w:val="clear"/>
                <w:lang w:val="en-US" w:eastAsia="en-US" w:bidi="ar-SA"/>
              </w:rPr>
              <w:t xml:space="preserve"> </w:t>
            </w:r>
            <w:r>
              <w:rPr>
                <w:rFonts w:eastAsia="Times New Roman" w:cs="Times New Roman" w:ascii="Arial" w:hAnsi="Arial"/>
                <w:b w:val="false"/>
                <w:bCs w:val="false"/>
                <w:color w:val="000000"/>
                <w:kern w:val="0"/>
                <w:sz w:val="18"/>
                <w:szCs w:val="18"/>
                <w:shd w:fill="auto" w:val="clear"/>
                <w:lang w:val="en-IN" w:eastAsia="en-IN" w:bidi="ar-SA"/>
              </w:rPr>
              <w:t>Indian side proposed that a system based approach should be followed by the FSVPS in place of individual enterprise based audit for the registration for export to the Russian Federation.</w:t>
            </w:r>
          </w:p>
          <w:p>
            <w:pPr>
              <w:pStyle w:val="NormalWeb"/>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During the meeting with JS(FTCIS) on 14</w:t>
            </w:r>
            <w:r>
              <w:rPr>
                <w:rFonts w:eastAsia="Times New Roman" w:cs="Times New Roman" w:ascii="Arial" w:hAnsi="Arial"/>
                <w:b w:val="false"/>
                <w:bCs w:val="false"/>
                <w:color w:val="000000"/>
                <w:kern w:val="0"/>
                <w:sz w:val="18"/>
                <w:szCs w:val="18"/>
                <w:shd w:fill="auto" w:val="clear"/>
                <w:vertAlign w:val="superscript"/>
                <w:lang w:val="en-IN" w:eastAsia="en-IN" w:bidi="ar-SA"/>
              </w:rPr>
              <w:t>th</w:t>
            </w:r>
            <w:r>
              <w:rPr>
                <w:rFonts w:eastAsia="Times New Roman" w:cs="Times New Roman" w:ascii="Arial" w:hAnsi="Arial"/>
                <w:b w:val="false"/>
                <w:bCs w:val="false"/>
                <w:color w:val="000000"/>
                <w:kern w:val="0"/>
                <w:sz w:val="18"/>
                <w:szCs w:val="18"/>
                <w:shd w:fill="auto" w:val="clear"/>
                <w:lang w:val="en-IN" w:eastAsia="en-IN" w:bidi="ar-SA"/>
              </w:rPr>
              <w:t xml:space="preserve"> November 2025, the representatives of FSVPS requested to share additional documents including National control plan for Dairy, list of veterinary medicinal products and National Fisheries Surveillance results of 2023-25, for further information related inspection carried out in October – November.</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Seafood</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Shrimps HS0306</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Indian side is currently unable to access detailed data on the rejections of marine establishments. The FSVPS website only provides information on the status of listed units.</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side).EAM handed over a list of 69 marine enterprises awiting registration with the FSVPs to the FDPM Denis Manturov.</w:t>
            </w:r>
          </w:p>
          <w:p>
            <w:pPr>
              <w:pStyle w:val="Normal"/>
              <w:widowControl w:val="false"/>
              <w:bidi w:val="0"/>
              <w:spacing w:lineRule="auto" w:line="240" w:before="0" w:after="0"/>
              <w:ind w:hanging="0" w:left="0" w:right="0"/>
              <w:jc w:val="both"/>
              <w:rPr>
                <w:rFonts w:ascii="Arial" w:hAnsi="Arial"/>
                <w:sz w:val="18"/>
                <w:szCs w:val="18"/>
              </w:rPr>
            </w:pPr>
            <w:r>
              <w:rPr>
                <w:rFonts w:ascii="Arial" w:hAnsi="Arial"/>
                <w:color w:val="000000"/>
                <w:sz w:val="18"/>
                <w:szCs w:val="18"/>
                <w:shd w:fill="auto" w:val="clear"/>
              </w:rPr>
              <w:t xml:space="preserve">As per the Russian side, it forwards notifications and publishes brief information on FSVPS website. </w:t>
            </w:r>
            <w:r>
              <w:rPr>
                <w:rFonts w:eastAsia="Calibri" w:cs="Times New Roman" w:ascii="Arial" w:hAnsi="Arial"/>
                <w:color w:val="000000"/>
                <w:kern w:val="0"/>
                <w:sz w:val="18"/>
                <w:szCs w:val="18"/>
                <w:shd w:fill="auto" w:val="clear"/>
                <w:lang w:val="en-US" w:eastAsia="en-US" w:bidi="ar-SA"/>
              </w:rPr>
              <w:t>On 21 October 2025, t</w:t>
            </w:r>
            <w:r>
              <w:rPr>
                <w:rFonts w:eastAsia="Calibri" w:cs="Times New Roman" w:ascii="Arial" w:hAnsi="Arial"/>
                <w:b w:val="false"/>
                <w:bCs w:val="false"/>
                <w:color w:val="000000"/>
                <w:kern w:val="0"/>
                <w:sz w:val="18"/>
                <w:szCs w:val="18"/>
                <w:shd w:fill="auto" w:val="clear"/>
                <w:lang w:val="en-US" w:eastAsia="en-US" w:bidi="ar-SA"/>
              </w:rPr>
              <w:t xml:space="preserve">he FSVPS agreed to register new enterprises- 19 marine enterprises and expanded the scope of products of 1 additional enterprise. These enterprises are also mentioned in EAM’s letter. The FSVPS has started inspection of 10 random marine enterprises on 27 October 2025 in order to register all marine enterprises mentioned in the letter handed over by EAM. </w:t>
            </w:r>
            <w:r>
              <w:rPr>
                <w:rFonts w:eastAsia="Times New Roman" w:cs="Times New Roman" w:ascii="Arial" w:hAnsi="Arial"/>
                <w:b w:val="false"/>
                <w:bCs w:val="false"/>
                <w:color w:val="000000"/>
                <w:kern w:val="0"/>
                <w:sz w:val="18"/>
                <w:szCs w:val="18"/>
                <w:shd w:fill="auto" w:val="clear"/>
                <w:lang w:val="en-IN" w:eastAsia="en-IN" w:bidi="ar-SA"/>
              </w:rPr>
              <w:t>Indian side proposed that a system based approach should be followed by the FSVPS in place of individual enterprise based audit for the registration for export to the Russian Federation.</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Seafood</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Shrimps HS0306</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Stringent Russian Standards Compared to International Norms</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 xml:space="preserve">The issue was raised at the 26th Meeting of IRIGC-TEC on 20 August 2025 (a list of the barriers was shared with the Russian side). </w:t>
            </w:r>
            <w:r>
              <w:rPr>
                <w:rFonts w:eastAsia="Calibri" w:cs="Times New Roman" w:ascii="Arial" w:hAnsi="Arial"/>
                <w:color w:val="000000"/>
                <w:kern w:val="0"/>
                <w:sz w:val="18"/>
                <w:szCs w:val="18"/>
                <w:shd w:fill="auto" w:val="clear"/>
                <w:lang w:val="en-US" w:eastAsia="en-US" w:bidi="ar-SA"/>
              </w:rPr>
              <w:t>On 21 October 2025, t</w:t>
            </w:r>
            <w:r>
              <w:rPr>
                <w:rFonts w:eastAsia="Calibri" w:cs="Times New Roman" w:ascii="Arial" w:hAnsi="Arial"/>
                <w:b w:val="false"/>
                <w:bCs w:val="false"/>
                <w:color w:val="000000"/>
                <w:kern w:val="0"/>
                <w:sz w:val="18"/>
                <w:szCs w:val="18"/>
                <w:shd w:fill="auto" w:val="clear"/>
                <w:lang w:val="en-US" w:eastAsia="en-US" w:bidi="ar-SA"/>
              </w:rPr>
              <w:t xml:space="preserve">he FSVPS agreed to register new enterprises- 19 marine enterprises and expanded the scope of products of 1 additional enterprise. These enterprises are also mentioned in EAM’s letter. The FSVPS has started inspection of 10 random marine enterprises on 27 October 2025 in order to register all marine enterprises mentioned in the letter handed over by EAM. </w:t>
            </w:r>
            <w:r>
              <w:rPr>
                <w:rFonts w:eastAsia="Times New Roman" w:cs="Times New Roman" w:ascii="Arial" w:hAnsi="Arial"/>
                <w:b w:val="false"/>
                <w:bCs w:val="false"/>
                <w:color w:val="000000"/>
                <w:kern w:val="0"/>
                <w:sz w:val="18"/>
                <w:szCs w:val="18"/>
                <w:shd w:fill="auto" w:val="clear"/>
                <w:lang w:val="en-IN" w:eastAsia="en-IN" w:bidi="ar-SA"/>
              </w:rPr>
              <w:t>Indian side proposed that a system based approach should be followed by the FSVPS in place of individual enterprise based audit for the registration for export to the Russian Federation.</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Tea</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Tea HS 0902</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Blending norms need correction.</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Current gaps allow low Indian content blends to be sold as “Indian Tea”. Mandate at least 75% Indian origin content for any blend labelled “Indian Tea”.</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Tea</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Tea HS 0902</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Effective legislation should be enacted in Russia to provide protection to Darjeeling Tea as a Geographical Indication (GI) and recognition of Assam, Nilgiri and Indian Tea Logo (World Gold Standard) as marks and famous brands owned by the Tea Board of India. (A Memorandum of Understanding in this regard was signed in February 2007.)</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Indian side is advised to apply for registration of the above designations in the manner prescribed by national legislation.</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EIC</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Tea</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Tea HS 0902</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Stringent Mold Standards for Imported Tea in Russia</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As per the Russian side, The hygienic standards adopted in the Russian Federation have a scientific basis from the point of view of safety for human health. The issue of the possibility of revising microbiological standards for fish products and tea requires discussion exclusively with the authorized bodies of all member states of the Eurasian Economic Union and cannot be resolved at the national level.</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Sending samples of tea</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Difficulties in Sending Tea Samples to Russia</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As per the Russian side. Proper documents shall be presented to customs authorities stating that the commodity is being sent as a sample.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issue was also raised during the meeting between Indian delegation of the food sector and Russian stakeholders during a B2B meeting organized on the margins of the World Food Moscow Exhibition on 18 September 2025. Indian enterprises face major difficulty in sending samples to the Russian market due to absence of international courier companies. The cost of shipping samples through the Russian courier company e.g. CDEK, is too high currently, making it an unfavourable choice. They majorly depend on postal services which takes over 20 days for delivery. Further, in the absence of a framework between India Post and Russian Post, the maximum limit of quantity and value for differentiating samples from commercial quantity, is not fixed. At several occasions, samples have been returned due to discrepancies in their invoices.</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Request for Exemption from ATA Carnet Requirement for Exhibition Samples</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Indian exhibitors may be allowed to carry samples into Russia based on a certificate issued by the Council for Leather Exports (CLE), instead of the current requirement of an ATA Carnet.</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Russian side is requested to grant an exemption from the ATA Carnet requirement for Indian participants in official Indian pavilions at Russia-based exhibitions.</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As per the Russian side, the request may not be fulfilled due to legislation of EAEU. The issue was raised by the APEDA led food and agri delegation during a B2B meeting organized on the sidelines of World Food Moscow in September 2025 and by the Indian exhibitors who participated in Home Textile &amp; Design Expo organized on 21-23 October 2025.</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Medicines Registration Process</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For Indian manufacturing units approved by the medicines Stringent Regulatory Authority (SRA), and for products granted marketing authorization by the SRA, we request that simplified or accelerated registration procedures be considered for the Russian market.</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As per Russian side, It is not currently possible to provide India with a simplified registration procedure on the Russian market , since Russia is a member state of the EAEU, within the framework of which a common market for medicines has been created.</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Web"/>
              <w:widowControl w:val="false"/>
              <w:bidi w:val="0"/>
              <w:spacing w:lineRule="auto" w:line="240" w:before="0" w:after="0"/>
              <w:ind w:hanging="0" w:left="0"/>
              <w:jc w:val="both"/>
              <w:rPr>
                <w:rFonts w:ascii="Arial" w:hAnsi="Arial"/>
                <w:sz w:val="18"/>
                <w:szCs w:val="18"/>
              </w:rPr>
            </w:pPr>
            <w:r>
              <w:rPr>
                <w:rFonts w:ascii="Arial" w:hAnsi="Arial"/>
                <w:color w:val="000000"/>
                <w:sz w:val="18"/>
                <w:szCs w:val="18"/>
                <w:shd w:fill="auto" w:val="clear"/>
              </w:rPr>
              <w:t>“</w:t>
            </w:r>
            <w:r>
              <w:rPr>
                <w:rFonts w:ascii="Arial" w:hAnsi="Arial"/>
                <w:color w:val="000000"/>
                <w:sz w:val="18"/>
                <w:szCs w:val="18"/>
                <w:shd w:fill="auto" w:val="clear"/>
              </w:rPr>
              <w:t>Third-one” rule in government procurement of medicines</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Medicines HS30</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Indian players at government tenders may be provided the same treatment as Russian ones.</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As per the Russian side, it would be appropriate to consider the possibility of investing in the localization of Indian pharmaceutical production in the Russian Federation, which would allow them to take advantage of preferences under Russian legislation.</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Medicines price registration</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Medicines HS30</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It has been therefore suggested to de-link the price of drugs imported by Russia from India from their domestic price in India.</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As per the Russian side, the rule protects Russian buyers from growth of prices.</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Medicines clinical trials</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Medicines HS30</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Russian law requires that clinical trials for both new and generic drugs be conducted locally. These trials typically take around three years, which significantly delays the introduction of new products into the Russian market.</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It has been requested that the norms be relaxed and that study results from clinical trials conducted in approved Contract Research Organizations (CROs) in India be accepted for registration in Russia.</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Russian side has advised the Indian side to follow the regulatory legal acts of the Russian Federation and the Eurasian Economic Union which regulate the conduct of clinical trials.</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Access for Ayurveda products</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Medicines HS30</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Traditional medicines in Russia are required to pass the same tests as allopathic medicines, which significantly restricts the market access of Ayurvedic products.</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Russian side has advised the Indian side to follow the regulatory legal acts of the Russian Federation and the Eurasian Economic Union regulating the registration and examination of medicines, as well as the use of traditional medicine.</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Challenges Related to Documentation, Certification, and QR Code Requirements for Textile products</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Textile products HS50-63</w:t>
            </w:r>
          </w:p>
          <w:p>
            <w:pPr>
              <w:pStyle w:val="Normal"/>
              <w:widowControl w:val="false"/>
              <w:bidi w:val="0"/>
              <w:spacing w:lineRule="auto" w:line="240" w:before="0" w:after="0"/>
              <w:ind w:hanging="0" w:left="0" w:right="0"/>
              <w:jc w:val="both"/>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Challenges Related to Documentation, Certification, and QR Code Requirements</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Cumbersome documentation requirements and procedural delays mandate the presence of a local representative who understands the processes to obtain timely clearances. High costs and lack of transparency in certification procedures lead to further delays and often result in goods being blocked until certification is complete, sometimes causing order cancellations.</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QR code system mandated under Russia’s “CHESTNY ZNAK” tracking initiative also presents significant challenges for textile exporters, particularly MSMEs. While the system aims to ensure traceability and authenticity, it is difficult to comply with due to language barriers, as most interfaces and documentation are in Russian. As a result, although a few larger companies have successfully adopted the system, most home textile manufacturers — including some larger factories — have not been able to do so despite the significant market potential.</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Calibri" w:ascii="Arial" w:hAnsi="Arial"/>
                <w:color w:val="000000"/>
                <w:sz w:val="18"/>
                <w:szCs w:val="18"/>
                <w:shd w:fill="auto" w:val="clear"/>
              </w:rPr>
              <w:t>The issue was raised at the 26th Meeting of IRIGC-TEC on 20 August 2025 (a list of the barriers was shared with the Russian side).</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Russian Ministry of Industry and Trade expressed its readiness to hold consultations for the Indian side on issues of importing light industry goods that are subject to mandatory identification marking. into the Russian Federation.</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Indian enterprises face major difficulty in sending textiles samples to the Russian market due to absence of international courier companies. The cost of shipping samples through the Russian courier company e.g. CDEK, is too high currently, making it an unfavourable choice. They majorly depend on postal services which takes over 20 days for delivery. Further, in the absence of framework between India Post and Russian Post, the maximum limit of quantity and value for differentiating samples from commercial quantity, is not fixed. At several occasions, samples have been returned due to discrepancies in their invoices.</w:t>
            </w:r>
          </w:p>
        </w:tc>
      </w:tr>
      <w:tr>
        <w:trPr/>
        <w:tc>
          <w:tcPr>
            <w:tcW w:w="450" w:type="dxa"/>
            <w:tcBorders>
              <w:left w:val="single" w:sz="4" w:space="0" w:color="000000"/>
              <w:bottom w:val="single" w:sz="4" w:space="0" w:color="000000"/>
              <w:right w:val="single" w:sz="4" w:space="0" w:color="000000"/>
            </w:tcBorders>
          </w:tcPr>
          <w:p>
            <w:pPr>
              <w:pStyle w:val="Normal"/>
              <w:widowControl w:val="false"/>
              <w:numPr>
                <w:ilvl w:val="0"/>
                <w:numId w:val="3"/>
              </w:numPr>
              <w:bidi w:val="0"/>
              <w:spacing w:lineRule="auto" w:line="240" w:before="0" w:after="0"/>
              <w:ind w:hanging="0" w:left="0" w:right="0"/>
              <w:jc w:val="center"/>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c>
          <w:tcPr>
            <w:tcW w:w="102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Multiple companies</w:t>
            </w:r>
          </w:p>
        </w:tc>
        <w:tc>
          <w:tcPr>
            <w:tcW w:w="9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Maritime delivery time</w:t>
            </w:r>
          </w:p>
        </w:tc>
        <w:tc>
          <w:tcPr>
            <w:tcW w:w="292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Bananas 0803</w:t>
            </w:r>
          </w:p>
          <w:p>
            <w:pPr>
              <w:pStyle w:val="Normal"/>
              <w:widowControl w:val="false"/>
              <w:bidi w:val="0"/>
              <w:spacing w:lineRule="auto" w:line="240" w:before="0" w:after="0"/>
              <w:ind w:hanging="0" w:left="0" w:right="0"/>
              <w:jc w:val="both"/>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Long shipment of bananas to Russia</w:t>
            </w:r>
          </w:p>
        </w:tc>
        <w:tc>
          <w:tcPr>
            <w:tcW w:w="466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issue was raised during the meeting between</w:t>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Indian delegation of the food sector and Russian stakeholders during a B2B meeting organized on the margins of the World Food Moscow Exhibition on 18 September 2025.</w:t>
            </w:r>
          </w:p>
          <w:p>
            <w:pPr>
              <w:pStyle w:val="Normal"/>
              <w:widowControl w:val="false"/>
              <w:bidi w:val="0"/>
              <w:spacing w:lineRule="auto" w:line="240" w:before="0" w:after="0"/>
              <w:ind w:hanging="0" w:left="0" w:right="0"/>
              <w:jc w:val="both"/>
              <w:rPr>
                <w:rFonts w:ascii="Arial" w:hAnsi="Arial"/>
                <w:color w:val="000000"/>
                <w:sz w:val="18"/>
                <w:szCs w:val="18"/>
                <w:highlight w:val="none"/>
                <w:shd w:fill="auto" w:val="clear"/>
              </w:rPr>
            </w:pPr>
            <w:r>
              <w:rPr>
                <w:rFonts w:ascii="Arial" w:hAnsi="Arial"/>
                <w:color w:val="000000"/>
                <w:sz w:val="18"/>
                <w:szCs w:val="18"/>
                <w:shd w:fill="auto" w:val="clear"/>
              </w:rPr>
            </w:r>
          </w:p>
          <w:p>
            <w:pPr>
              <w:pStyle w:val="Normal"/>
              <w:widowControl w:val="false"/>
              <w:bidi w:val="0"/>
              <w:spacing w:lineRule="auto" w:line="240" w:before="0" w:after="0"/>
              <w:ind w:hanging="0" w:left="0" w:right="0"/>
              <w:jc w:val="both"/>
              <w:rPr>
                <w:rFonts w:ascii="Arial" w:hAnsi="Arial"/>
                <w:sz w:val="18"/>
                <w:szCs w:val="18"/>
              </w:rPr>
            </w:pPr>
            <w:r>
              <w:rPr>
                <w:rFonts w:eastAsia="Times New Roman" w:cs="Times New Roman" w:ascii="Arial" w:hAnsi="Arial"/>
                <w:b w:val="false"/>
                <w:bCs w:val="false"/>
                <w:color w:val="000000"/>
                <w:kern w:val="0"/>
                <w:sz w:val="18"/>
                <w:szCs w:val="18"/>
                <w:shd w:fill="auto" w:val="clear"/>
                <w:lang w:val="en-IN" w:eastAsia="en-IN" w:bidi="ar-SA"/>
              </w:rPr>
              <w:t>The representative of FESCO logistics company informed that the travel time may be reduced by 2 days only, and the more efficient solutions for storing bananas may be used.</w:t>
            </w:r>
          </w:p>
          <w:p>
            <w:pPr>
              <w:pStyle w:val="Normal"/>
              <w:widowControl w:val="false"/>
              <w:bidi w:val="0"/>
              <w:spacing w:lineRule="auto" w:line="240" w:before="0" w:after="0"/>
              <w:ind w:hanging="0" w:left="0" w:right="0"/>
              <w:jc w:val="both"/>
              <w:rPr>
                <w:rFonts w:ascii="Arial" w:hAnsi="Arial" w:eastAsia="Times New Roman" w:cs="Times New Roman"/>
                <w:b w:val="false"/>
                <w:bCs w:val="false"/>
                <w:color w:val="000000"/>
                <w:kern w:val="0"/>
                <w:sz w:val="18"/>
                <w:szCs w:val="18"/>
                <w:highlight w:val="none"/>
                <w:shd w:fill="auto" w:val="clear"/>
                <w:lang w:val="en-IN" w:eastAsia="en-IN" w:bidi="ar-SA"/>
              </w:rPr>
            </w:pPr>
            <w:r>
              <w:rPr>
                <w:rFonts w:eastAsia="Times New Roman" w:cs="Times New Roman" w:ascii="Arial" w:hAnsi="Arial"/>
                <w:b w:val="false"/>
                <w:bCs w:val="false"/>
                <w:color w:val="000000"/>
                <w:kern w:val="0"/>
                <w:sz w:val="18"/>
                <w:szCs w:val="18"/>
                <w:shd w:fill="auto" w:val="clear"/>
                <w:lang w:val="en-IN" w:eastAsia="en-IN" w:bidi="ar-SA"/>
              </w:rPr>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8925" w:type="dxa"/>
        <w:jc w:val="left"/>
        <w:tblInd w:w="1216" w:type="dxa"/>
        <w:tblLayout w:type="fixed"/>
        <w:tblCellMar>
          <w:top w:w="0" w:type="dxa"/>
          <w:left w:w="108" w:type="dxa"/>
          <w:bottom w:w="0" w:type="dxa"/>
          <w:right w:w="108" w:type="dxa"/>
        </w:tblCellMar>
      </w:tblPr>
      <w:tblGrid>
        <w:gridCol w:w="1884"/>
        <w:gridCol w:w="7041"/>
      </w:tblGrid>
      <w:tr>
        <w:trPr/>
        <w:tc>
          <w:tcPr>
            <w:tcW w:w="1884"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Records of E&amp;C Wing</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widowControl w:val="false"/>
        <w:shd w:val="clear" w:fill="FFFFFF"/>
        <w:bidi w:val="0"/>
        <w:spacing w:lineRule="auto" w:line="240" w:before="0" w:after="0"/>
        <w:ind w:hanging="0" w:left="0" w:right="0"/>
        <w:jc w:val="left"/>
        <w:rPr>
          <w:rFonts w:ascii="Arial" w:hAnsi="Arial"/>
          <w:sz w:val="18"/>
          <w:szCs w:val="18"/>
        </w:rPr>
      </w:pPr>
      <w:r>
        <w:rPr>
          <w:rFonts w:eastAsia="Times New Roman" w:cs="Arial" w:ascii="Arial" w:hAnsi="Arial"/>
          <w:b/>
          <w:color w:val="000000"/>
          <w:sz w:val="18"/>
          <w:szCs w:val="18"/>
          <w:shd w:fill="auto" w:val="clear"/>
        </w:rPr>
        <w:t>b. Feedback on major trade promotion activities/events</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33" w:type="dxa"/>
        <w:jc w:val="left"/>
        <w:tblInd w:w="108" w:type="dxa"/>
        <w:tblLayout w:type="fixed"/>
        <w:tblCellMar>
          <w:top w:w="55" w:type="dxa"/>
          <w:left w:w="108" w:type="dxa"/>
          <w:bottom w:w="55" w:type="dxa"/>
          <w:right w:w="108" w:type="dxa"/>
        </w:tblCellMar>
      </w:tblPr>
      <w:tblGrid>
        <w:gridCol w:w="716"/>
        <w:gridCol w:w="1449"/>
        <w:gridCol w:w="1277"/>
        <w:gridCol w:w="1257"/>
        <w:gridCol w:w="1442"/>
        <w:gridCol w:w="3892"/>
      </w:tblGrid>
      <w:tr>
        <w:trPr/>
        <w:tc>
          <w:tcPr>
            <w:tcW w:w="716"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i w:val="false"/>
                <w:iCs w:val="false"/>
                <w:color w:val="000000"/>
                <w:kern w:val="0"/>
                <w:sz w:val="18"/>
                <w:szCs w:val="18"/>
                <w:shd w:fill="auto" w:val="clear"/>
                <w:lang w:val="en-US" w:eastAsia="en-US" w:bidi="ar-SA"/>
              </w:rPr>
              <w:t>S. No.</w:t>
            </w:r>
          </w:p>
        </w:tc>
        <w:tc>
          <w:tcPr>
            <w:tcW w:w="1449"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i w:val="false"/>
                <w:iCs w:val="false"/>
                <w:color w:val="000000"/>
                <w:kern w:val="0"/>
                <w:sz w:val="18"/>
                <w:szCs w:val="18"/>
                <w:shd w:fill="auto" w:val="clear"/>
                <w:lang w:val="en-US" w:eastAsia="en-US" w:bidi="ar-SA"/>
              </w:rPr>
              <w:t>Activity/Events (trade fair, BSM etc.)</w:t>
            </w:r>
          </w:p>
        </w:tc>
        <w:tc>
          <w:tcPr>
            <w:tcW w:w="1277"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i w:val="false"/>
                <w:iCs w:val="false"/>
                <w:color w:val="000000"/>
                <w:kern w:val="0"/>
                <w:sz w:val="18"/>
                <w:szCs w:val="18"/>
                <w:shd w:fill="auto" w:val="clear"/>
                <w:lang w:val="en-US" w:eastAsia="en-US" w:bidi="ar-SA"/>
              </w:rPr>
              <w:t>Date and venue</w:t>
            </w:r>
          </w:p>
        </w:tc>
        <w:tc>
          <w:tcPr>
            <w:tcW w:w="1257"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i w:val="false"/>
                <w:iCs w:val="false"/>
                <w:color w:val="000000"/>
                <w:kern w:val="0"/>
                <w:sz w:val="18"/>
                <w:szCs w:val="18"/>
                <w:shd w:fill="auto" w:val="clear"/>
                <w:lang w:val="en-US" w:eastAsia="en-US" w:bidi="ar-SA"/>
              </w:rPr>
              <w:t>Number of participants from India</w:t>
            </w:r>
          </w:p>
        </w:tc>
        <w:tc>
          <w:tcPr>
            <w:tcW w:w="1442"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i w:val="false"/>
                <w:iCs w:val="false"/>
                <w:color w:val="000000"/>
                <w:kern w:val="0"/>
                <w:sz w:val="18"/>
                <w:szCs w:val="18"/>
                <w:shd w:fill="auto" w:val="clear"/>
                <w:lang w:val="en-US" w:eastAsia="en-US" w:bidi="ar-SA"/>
              </w:rPr>
              <w:t>Name of EPC/Trade Body coordinating participants</w:t>
            </w:r>
          </w:p>
        </w:tc>
        <w:tc>
          <w:tcPr>
            <w:tcW w:w="3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i w:val="false"/>
                <w:iCs w:val="false"/>
                <w:color w:val="000000"/>
                <w:kern w:val="0"/>
                <w:sz w:val="18"/>
                <w:szCs w:val="18"/>
                <w:shd w:fill="auto" w:val="clear"/>
                <w:lang w:val="en-US" w:eastAsia="en-US" w:bidi="ar-SA"/>
              </w:rPr>
              <w:t>Mission’s Feedback</w:t>
            </w:r>
          </w:p>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i w:val="false"/>
                <w:iCs w:val="false"/>
                <w:color w:val="000000"/>
                <w:kern w:val="0"/>
                <w:sz w:val="18"/>
                <w:szCs w:val="18"/>
                <w:shd w:fill="auto" w:val="clear"/>
                <w:lang w:val="en-US" w:eastAsia="en-US" w:bidi="ar-SA"/>
              </w:rPr>
              <w:t>(Max.200 words)</w:t>
            </w:r>
          </w:p>
          <w:p>
            <w:pPr>
              <w:pStyle w:val="Normal"/>
              <w:widowControl w:val="false"/>
              <w:bidi w:val="0"/>
              <w:spacing w:lineRule="auto" w:line="240" w:before="0" w:after="0"/>
              <w:ind w:hanging="0" w:left="0" w:right="0"/>
              <w:jc w:val="center"/>
              <w:rPr>
                <w:rFonts w:ascii="Arial" w:hAnsi="Arial" w:eastAsia="Calibri" w:cs="Arial"/>
                <w:b/>
                <w:bCs/>
                <w:i w:val="false"/>
                <w:i w:val="false"/>
                <w:iCs w:val="false"/>
                <w:color w:val="000000"/>
                <w:kern w:val="0"/>
                <w:sz w:val="18"/>
                <w:szCs w:val="18"/>
                <w:highlight w:val="none"/>
                <w:shd w:fill="auto" w:val="clear"/>
                <w:lang w:val="en-US" w:eastAsia="en-US" w:bidi="ar-SA"/>
              </w:rPr>
            </w:pPr>
            <w:r>
              <w:rPr>
                <w:rFonts w:eastAsia="Calibri" w:cs="Arial" w:ascii="Arial" w:hAnsi="Arial"/>
                <w:b/>
                <w:bCs/>
                <w:i w:val="false"/>
                <w:iCs w:val="false"/>
                <w:color w:val="000000"/>
                <w:kern w:val="0"/>
                <w:sz w:val="18"/>
                <w:szCs w:val="18"/>
                <w:shd w:fill="auto" w:val="clear"/>
                <w:lang w:val="en-US" w:eastAsia="en-US" w:bidi="ar-SA"/>
              </w:rPr>
            </w:r>
          </w:p>
        </w:tc>
      </w:tr>
      <w:tr>
        <w:trPr/>
        <w:tc>
          <w:tcPr>
            <w:tcW w:w="716" w:type="dxa"/>
            <w:tcBorders>
              <w:left w:val="single" w:sz="4" w:space="0" w:color="000000"/>
              <w:bottom w:val="single" w:sz="4" w:space="0" w:color="000000"/>
            </w:tcBorders>
          </w:tcPr>
          <w:p>
            <w:pPr>
              <w:pStyle w:val="Normal"/>
              <w:widowControl w:val="false"/>
              <w:bidi w:val="0"/>
              <w:spacing w:lineRule="auto" w:line="240" w:before="0" w:after="0"/>
              <w:ind w:hanging="0" w:left="0"/>
              <w:jc w:val="left"/>
              <w:rPr>
                <w:rFonts w:ascii="Arial" w:hAnsi="Arial"/>
                <w:sz w:val="18"/>
                <w:szCs w:val="18"/>
              </w:rPr>
            </w:pPr>
            <w:r>
              <w:rPr>
                <w:rFonts w:eastAsia="Times New Roman" w:ascii="Arial" w:hAnsi="Arial"/>
                <w:b w:val="false"/>
                <w:bCs w:val="false"/>
                <w:color w:val="000000"/>
                <w:sz w:val="18"/>
                <w:szCs w:val="18"/>
                <w:shd w:fill="auto" w:val="clear"/>
                <w:lang w:val="en-IN" w:eastAsia="en-IN"/>
              </w:rPr>
              <w:t>1</w:t>
            </w:r>
          </w:p>
        </w:tc>
        <w:tc>
          <w:tcPr>
            <w:tcW w:w="1449" w:type="dxa"/>
            <w:tcBorders>
              <w:left w:val="single" w:sz="4" w:space="0" w:color="000000"/>
              <w:bottom w:val="single" w:sz="4" w:space="0" w:color="000000"/>
            </w:tcBorders>
          </w:tcPr>
          <w:p>
            <w:pPr>
              <w:pStyle w:val="Normal"/>
              <w:widowControl w:val="false"/>
              <w:bidi w:val="0"/>
              <w:spacing w:lineRule="auto" w:line="240" w:before="0" w:after="0"/>
              <w:ind w:hanging="0" w:left="0"/>
              <w:jc w:val="left"/>
              <w:rPr>
                <w:rFonts w:ascii="Arial" w:hAnsi="Arial"/>
                <w:sz w:val="18"/>
                <w:szCs w:val="18"/>
              </w:rPr>
            </w:pPr>
            <w:r>
              <w:rPr>
                <w:rFonts w:eastAsia="Times New Roman" w:ascii="Arial" w:hAnsi="Arial"/>
                <w:b w:val="false"/>
                <w:bCs w:val="false"/>
                <w:color w:val="000000"/>
                <w:sz w:val="18"/>
                <w:szCs w:val="18"/>
                <w:shd w:fill="auto" w:val="clear"/>
                <w:lang w:val="en-IN" w:eastAsia="en-IN"/>
              </w:rPr>
              <w:t>B2B networking event of ceramic tiles</w:t>
            </w:r>
          </w:p>
        </w:tc>
        <w:tc>
          <w:tcPr>
            <w:tcW w:w="1277" w:type="dxa"/>
            <w:tcBorders>
              <w:left w:val="single" w:sz="4" w:space="0" w:color="000000"/>
              <w:bottom w:val="single" w:sz="4" w:space="0" w:color="000000"/>
            </w:tcBorders>
          </w:tcPr>
          <w:p>
            <w:pPr>
              <w:pStyle w:val="Normal"/>
              <w:widowControl w:val="false"/>
              <w:bidi w:val="0"/>
              <w:spacing w:lineRule="auto" w:line="240" w:before="0" w:after="0"/>
              <w:ind w:hanging="0" w:left="0"/>
              <w:jc w:val="left"/>
              <w:rPr>
                <w:rFonts w:ascii="Arial" w:hAnsi="Arial"/>
                <w:sz w:val="18"/>
                <w:szCs w:val="18"/>
              </w:rPr>
            </w:pPr>
            <w:r>
              <w:rPr>
                <w:rFonts w:eastAsia="Times New Roman" w:ascii="Arial" w:hAnsi="Arial"/>
                <w:b w:val="false"/>
                <w:bCs w:val="false"/>
                <w:color w:val="000000"/>
                <w:sz w:val="18"/>
                <w:szCs w:val="18"/>
                <w:shd w:fill="auto" w:val="clear"/>
                <w:lang w:val="en-IN" w:eastAsia="en-IN"/>
              </w:rPr>
              <w:t>09-10/07/2026,</w:t>
            </w:r>
          </w:p>
          <w:p>
            <w:pPr>
              <w:pStyle w:val="Normal"/>
              <w:widowControl w:val="false"/>
              <w:bidi w:val="0"/>
              <w:spacing w:lineRule="auto" w:line="240" w:before="0" w:after="0"/>
              <w:ind w:hanging="0" w:left="0"/>
              <w:jc w:val="left"/>
              <w:rPr>
                <w:rFonts w:ascii="Arial" w:hAnsi="Arial"/>
                <w:sz w:val="18"/>
                <w:szCs w:val="18"/>
              </w:rPr>
            </w:pPr>
            <w:r>
              <w:rPr>
                <w:rFonts w:eastAsia="Times New Roman" w:ascii="Arial" w:hAnsi="Arial"/>
                <w:b w:val="false"/>
                <w:bCs w:val="false"/>
                <w:color w:val="000000"/>
                <w:sz w:val="18"/>
                <w:szCs w:val="18"/>
                <w:shd w:fill="auto" w:val="clear"/>
                <w:lang w:val="en-IN" w:eastAsia="en-IN"/>
              </w:rPr>
              <w:t>Moscow</w:t>
            </w:r>
          </w:p>
        </w:tc>
        <w:tc>
          <w:tcPr>
            <w:tcW w:w="1257" w:type="dxa"/>
            <w:tcBorders>
              <w:left w:val="single" w:sz="4" w:space="0" w:color="000000"/>
              <w:bottom w:val="single" w:sz="4" w:space="0" w:color="000000"/>
            </w:tcBorders>
          </w:tcPr>
          <w:p>
            <w:pPr>
              <w:pStyle w:val="Normal"/>
              <w:widowControl w:val="false"/>
              <w:bidi w:val="0"/>
              <w:spacing w:lineRule="auto" w:line="240" w:before="0" w:after="0"/>
              <w:ind w:hanging="0" w:left="0"/>
              <w:jc w:val="left"/>
              <w:rPr>
                <w:rFonts w:ascii="Arial" w:hAnsi="Arial"/>
                <w:sz w:val="18"/>
                <w:szCs w:val="18"/>
              </w:rPr>
            </w:pPr>
            <w:r>
              <w:rPr>
                <w:rFonts w:eastAsia="Times New Roman" w:ascii="Arial" w:hAnsi="Arial"/>
                <w:b w:val="false"/>
                <w:bCs w:val="false"/>
                <w:color w:val="000000"/>
                <w:sz w:val="18"/>
                <w:szCs w:val="18"/>
                <w:shd w:fill="auto" w:val="clear"/>
                <w:lang w:val="en-IN" w:eastAsia="en-IN"/>
              </w:rPr>
              <w:t>50</w:t>
            </w:r>
          </w:p>
        </w:tc>
        <w:tc>
          <w:tcPr>
            <w:tcW w:w="1442" w:type="dxa"/>
            <w:tcBorders>
              <w:left w:val="single" w:sz="4" w:space="0" w:color="000000"/>
              <w:bottom w:val="single" w:sz="4" w:space="0" w:color="000000"/>
            </w:tcBorders>
          </w:tcPr>
          <w:p>
            <w:pPr>
              <w:pStyle w:val="Normal"/>
              <w:widowControl w:val="false"/>
              <w:bidi w:val="0"/>
              <w:spacing w:lineRule="auto" w:line="240" w:before="0" w:after="0"/>
              <w:ind w:hanging="0" w:left="0"/>
              <w:jc w:val="left"/>
              <w:rPr>
                <w:rFonts w:ascii="Arial" w:hAnsi="Arial"/>
                <w:sz w:val="18"/>
                <w:szCs w:val="18"/>
              </w:rPr>
            </w:pPr>
            <w:r>
              <w:rPr>
                <w:rFonts w:eastAsia="Times New Roman" w:ascii="Arial" w:hAnsi="Arial"/>
                <w:b w:val="false"/>
                <w:bCs w:val="false"/>
                <w:color w:val="000000"/>
                <w:sz w:val="18"/>
                <w:szCs w:val="18"/>
                <w:shd w:fill="auto" w:val="clear"/>
                <w:lang w:val="en-IN" w:eastAsia="en-IN"/>
              </w:rPr>
              <w:t>TPCI</w:t>
            </w:r>
          </w:p>
        </w:tc>
        <w:tc>
          <w:tcPr>
            <w:tcW w:w="389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jc w:val="left"/>
              <w:rPr>
                <w:rFonts w:ascii="Arial" w:hAnsi="Arial"/>
                <w:sz w:val="18"/>
                <w:szCs w:val="18"/>
              </w:rPr>
            </w:pPr>
            <w:r>
              <w:rPr>
                <w:rFonts w:eastAsia="Times New Roman" w:ascii="Arial" w:hAnsi="Arial"/>
                <w:b w:val="false"/>
                <w:bCs w:val="false"/>
                <w:color w:val="000000"/>
                <w:sz w:val="18"/>
                <w:szCs w:val="18"/>
                <w:shd w:fill="auto" w:val="clear"/>
                <w:lang w:val="en-IN" w:eastAsia="en-IN"/>
              </w:rPr>
              <w:t>The event was inaugurated by DCM and attracted attention of multiple Russian companies</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9021" w:type="dxa"/>
        <w:jc w:val="left"/>
        <w:tblInd w:w="1116" w:type="dxa"/>
        <w:tblLayout w:type="fixed"/>
        <w:tblCellMar>
          <w:top w:w="0" w:type="dxa"/>
          <w:left w:w="108" w:type="dxa"/>
          <w:bottom w:w="0" w:type="dxa"/>
          <w:right w:w="108" w:type="dxa"/>
        </w:tblCellMar>
      </w:tblPr>
      <w:tblGrid>
        <w:gridCol w:w="1980"/>
        <w:gridCol w:w="7041"/>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Records of E&amp;C Wing</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widowControl w:val="false"/>
        <w:shd w:val="clear" w:fill="FFFFFF"/>
        <w:bidi w:val="0"/>
        <w:spacing w:lineRule="auto" w:line="240" w:before="0" w:after="0"/>
        <w:ind w:hanging="0" w:left="0" w:right="0"/>
        <w:jc w:val="left"/>
        <w:rPr>
          <w:rFonts w:ascii="Arial" w:hAnsi="Arial"/>
          <w:sz w:val="18"/>
          <w:szCs w:val="18"/>
        </w:rPr>
      </w:pPr>
      <w:r>
        <w:rPr>
          <w:rFonts w:eastAsia="Times New Roman" w:cs="Arial" w:ascii="Arial" w:hAnsi="Arial"/>
          <w:b/>
          <w:color w:val="000000"/>
          <w:sz w:val="18"/>
          <w:szCs w:val="18"/>
          <w:shd w:fill="auto" w:val="clear"/>
        </w:rPr>
        <w:t>c. Feedback from local commercial visitors to trade fairs in India, including under RBSM; number of Business Visas issued :</w:t>
      </w:r>
    </w:p>
    <w:p>
      <w:pPr>
        <w:pStyle w:val="Normal"/>
        <w:numPr>
          <w:ilvl w:val="0"/>
          <w:numId w:val="0"/>
        </w:numPr>
        <w:tabs>
          <w:tab w:val="clear" w:pos="709"/>
          <w:tab w:val="left" w:pos="993" w:leader="none"/>
        </w:tabs>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27" w:type="dxa"/>
        <w:jc w:val="left"/>
        <w:tblInd w:w="113" w:type="dxa"/>
        <w:tblLayout w:type="fixed"/>
        <w:tblCellMar>
          <w:top w:w="0" w:type="dxa"/>
          <w:left w:w="108" w:type="dxa"/>
          <w:bottom w:w="0" w:type="dxa"/>
          <w:right w:w="108" w:type="dxa"/>
        </w:tblCellMar>
      </w:tblPr>
      <w:tblGrid>
        <w:gridCol w:w="557"/>
        <w:gridCol w:w="1357"/>
        <w:gridCol w:w="1224"/>
        <w:gridCol w:w="1324"/>
        <w:gridCol w:w="1584"/>
        <w:gridCol w:w="1092"/>
        <w:gridCol w:w="2889"/>
      </w:tblGrid>
      <w:tr>
        <w:trPr/>
        <w:tc>
          <w:tcPr>
            <w:tcW w:w="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color w:val="000000"/>
                <w:kern w:val="0"/>
                <w:sz w:val="18"/>
                <w:szCs w:val="18"/>
                <w:shd w:fill="auto" w:val="clear"/>
                <w:lang w:val="en-US" w:eastAsia="en-US" w:bidi="ar-SA"/>
              </w:rPr>
              <w:t>S. No.</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color w:val="000000"/>
                <w:kern w:val="0"/>
                <w:sz w:val="18"/>
                <w:szCs w:val="18"/>
                <w:shd w:fill="auto" w:val="clear"/>
                <w:lang w:val="en-US" w:eastAsia="en-US" w:bidi="ar-SA"/>
              </w:rPr>
              <w:t>Activity (trade fair)</w:t>
            </w:r>
          </w:p>
          <w:p>
            <w:pPr>
              <w:pStyle w:val="Normal"/>
              <w:widowControl w:val="false"/>
              <w:bidi w:val="0"/>
              <w:spacing w:lineRule="auto" w:line="240" w:before="0" w:after="0"/>
              <w:ind w:hanging="0" w:left="0" w:right="0"/>
              <w:jc w:val="center"/>
              <w:rPr>
                <w:rFonts w:ascii="Arial" w:hAnsi="Arial" w:eastAsia="Calibri" w:cs="Arial"/>
                <w:b/>
                <w:bCs/>
                <w:color w:val="000000"/>
                <w:kern w:val="0"/>
                <w:sz w:val="18"/>
                <w:szCs w:val="18"/>
                <w:highlight w:val="none"/>
                <w:shd w:fill="auto" w:val="clear"/>
                <w:lang w:val="en-US" w:eastAsia="en-US" w:bidi="ar-SA"/>
              </w:rPr>
            </w:pPr>
            <w:r>
              <w:rPr>
                <w:rFonts w:eastAsia="Calibri" w:cs="Arial" w:ascii="Arial" w:hAnsi="Arial"/>
                <w:b/>
                <w:bCs/>
                <w:color w:val="000000"/>
                <w:kern w:val="0"/>
                <w:sz w:val="18"/>
                <w:szCs w:val="18"/>
                <w:shd w:fill="auto" w:val="clear"/>
                <w:lang w:val="en-US" w:eastAsia="en-US" w:bidi="ar-SA"/>
              </w:rPr>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color w:val="000000"/>
                <w:kern w:val="0"/>
                <w:sz w:val="18"/>
                <w:szCs w:val="18"/>
                <w:shd w:fill="auto" w:val="clear"/>
                <w:lang w:val="en-US" w:eastAsia="en-US" w:bidi="ar-SA"/>
              </w:rPr>
              <w:t>Date and venue</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color w:val="000000"/>
                <w:kern w:val="0"/>
                <w:sz w:val="18"/>
                <w:szCs w:val="18"/>
                <w:shd w:fill="auto" w:val="clear"/>
                <w:lang w:val="en-US" w:eastAsia="en-US" w:bidi="ar-SA"/>
              </w:rPr>
              <w:t>Number of participants from the relevant country</w:t>
            </w:r>
          </w:p>
        </w:tc>
        <w:tc>
          <w:tcPr>
            <w:tcW w:w="1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color w:val="000000"/>
                <w:kern w:val="0"/>
                <w:sz w:val="18"/>
                <w:szCs w:val="18"/>
                <w:shd w:fill="auto" w:val="clear"/>
                <w:lang w:val="en-US" w:eastAsia="en-US" w:bidi="ar-SA"/>
              </w:rPr>
              <w:t>List of large/ key participants from the relevant country</w:t>
            </w:r>
          </w:p>
        </w:tc>
        <w:tc>
          <w:tcPr>
            <w:tcW w:w="10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color w:val="000000"/>
                <w:kern w:val="0"/>
                <w:sz w:val="18"/>
                <w:szCs w:val="18"/>
                <w:shd w:fill="auto" w:val="clear"/>
                <w:lang w:val="en-US" w:eastAsia="en-US" w:bidi="ar-SA"/>
              </w:rPr>
              <w:t>Number of Business Visas issued</w:t>
            </w:r>
          </w:p>
        </w:tc>
        <w:tc>
          <w:tcPr>
            <w:tcW w:w="2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color w:val="000000"/>
                <w:kern w:val="0"/>
                <w:sz w:val="18"/>
                <w:szCs w:val="18"/>
                <w:shd w:fill="auto" w:val="clear"/>
                <w:lang w:val="en-US" w:eastAsia="en-US" w:bidi="ar-SA"/>
              </w:rPr>
              <w:t>Mission’s Feedback</w:t>
            </w:r>
          </w:p>
          <w:p>
            <w:pPr>
              <w:pStyle w:val="Normal"/>
              <w:widowControl w:val="false"/>
              <w:bidi w:val="0"/>
              <w:spacing w:lineRule="auto" w:line="240" w:before="0" w:after="0"/>
              <w:ind w:hanging="0" w:left="0" w:right="0"/>
              <w:jc w:val="center"/>
              <w:rPr>
                <w:rFonts w:ascii="Arial" w:hAnsi="Arial" w:eastAsia="Calibri" w:cs="Arial"/>
                <w:b/>
                <w:bCs/>
                <w:color w:val="000000"/>
                <w:kern w:val="0"/>
                <w:sz w:val="18"/>
                <w:szCs w:val="18"/>
                <w:highlight w:val="none"/>
                <w:shd w:fill="auto" w:val="clear"/>
                <w:lang w:val="en-US" w:eastAsia="en-US" w:bidi="ar-SA"/>
              </w:rPr>
            </w:pPr>
            <w:r>
              <w:rPr>
                <w:rFonts w:eastAsia="Calibri" w:cs="Arial" w:ascii="Arial" w:hAnsi="Arial"/>
                <w:b/>
                <w:bCs/>
                <w:color w:val="000000"/>
                <w:kern w:val="0"/>
                <w:sz w:val="18"/>
                <w:szCs w:val="18"/>
                <w:shd w:fill="auto" w:val="clear"/>
                <w:lang w:val="en-US" w:eastAsia="en-US" w:bidi="ar-SA"/>
              </w:rPr>
            </w:r>
          </w:p>
        </w:tc>
      </w:tr>
      <w:tr>
        <w:trPr/>
        <w:tc>
          <w:tcPr>
            <w:tcW w:w="557" w:type="dxa"/>
            <w:tcBorders>
              <w:left w:val="single" w:sz="4" w:space="0" w:color="000000"/>
              <w:bottom w:val="single" w:sz="4" w:space="0" w:color="000000"/>
              <w:right w:val="single" w:sz="4" w:space="0" w:color="000000"/>
            </w:tcBorders>
          </w:tcPr>
          <w:p>
            <w:pPr>
              <w:pStyle w:val="Normal"/>
              <w:widowControl w:val="false"/>
              <w:numPr>
                <w:ilvl w:val="0"/>
                <w:numId w:val="4"/>
              </w:numPr>
              <w:bidi w:val="0"/>
              <w:spacing w:lineRule="auto" w:line="240" w:before="0" w:after="0"/>
              <w:ind w:hanging="0" w:left="0"/>
              <w:jc w:val="left"/>
              <w:rPr>
                <w:rFonts w:ascii="Arial" w:hAnsi="Arial" w:eastAsia="Calibri" w:cs="Arial"/>
                <w:color w:val="000000"/>
                <w:kern w:val="0"/>
                <w:sz w:val="18"/>
                <w:szCs w:val="18"/>
                <w:shd w:fill="auto" w:val="clear"/>
                <w:lang w:val="en-US" w:eastAsia="en-US" w:bidi="ar-SA"/>
              </w:rPr>
            </w:pPr>
            <w:r>
              <w:rPr>
                <w:rFonts w:eastAsia="Calibri" w:cs="Arial" w:ascii="Arial" w:hAnsi="Arial"/>
                <w:color w:val="000000"/>
                <w:kern w:val="0"/>
                <w:sz w:val="18"/>
                <w:szCs w:val="18"/>
                <w:shd w:fill="auto" w:val="clear"/>
                <w:lang w:val="en-US" w:eastAsia="en-US" w:bidi="ar-SA"/>
              </w:rPr>
            </w:r>
          </w:p>
        </w:tc>
        <w:tc>
          <w:tcPr>
            <w:tcW w:w="135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Business meetings with Nayara Energy</w:t>
            </w:r>
          </w:p>
        </w:tc>
        <w:tc>
          <w:tcPr>
            <w:tcW w:w="122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01-31 July 2026,</w:t>
            </w:r>
          </w:p>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Maharashtra</w:t>
            </w:r>
          </w:p>
        </w:tc>
        <w:tc>
          <w:tcPr>
            <w:tcW w:w="132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4</w:t>
            </w:r>
          </w:p>
        </w:tc>
        <w:tc>
          <w:tcPr>
            <w:tcW w:w="158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Rosneft</w:t>
            </w:r>
          </w:p>
        </w:tc>
        <w:tc>
          <w:tcPr>
            <w:tcW w:w="109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4</w:t>
            </w:r>
          </w:p>
        </w:tc>
        <w:tc>
          <w:tcPr>
            <w:tcW w:w="288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Business meetings with Nayara Energy were conducted</w:t>
            </w:r>
          </w:p>
        </w:tc>
      </w:tr>
      <w:tr>
        <w:trPr/>
        <w:tc>
          <w:tcPr>
            <w:tcW w:w="557" w:type="dxa"/>
            <w:tcBorders>
              <w:left w:val="single" w:sz="4" w:space="0" w:color="000000"/>
              <w:bottom w:val="single" w:sz="4" w:space="0" w:color="000000"/>
              <w:right w:val="single" w:sz="4" w:space="0" w:color="000000"/>
            </w:tcBorders>
          </w:tcPr>
          <w:p>
            <w:pPr>
              <w:pStyle w:val="Normal"/>
              <w:widowControl w:val="false"/>
              <w:numPr>
                <w:ilvl w:val="0"/>
                <w:numId w:val="4"/>
              </w:numPr>
              <w:bidi w:val="0"/>
              <w:spacing w:lineRule="auto" w:line="240" w:before="0" w:after="0"/>
              <w:ind w:hanging="0" w:left="0"/>
              <w:jc w:val="left"/>
              <w:rPr>
                <w:rFonts w:ascii="Arial" w:hAnsi="Arial" w:eastAsia="Calibri" w:cs="Arial"/>
                <w:color w:val="000000"/>
                <w:kern w:val="0"/>
                <w:sz w:val="18"/>
                <w:szCs w:val="18"/>
                <w:shd w:fill="auto" w:val="clear"/>
                <w:lang w:val="en-US" w:eastAsia="en-US" w:bidi="ar-SA"/>
              </w:rPr>
            </w:pPr>
            <w:r>
              <w:rPr>
                <w:rFonts w:eastAsia="Calibri" w:cs="Arial" w:ascii="Arial" w:hAnsi="Arial"/>
                <w:color w:val="000000"/>
                <w:kern w:val="0"/>
                <w:sz w:val="18"/>
                <w:szCs w:val="18"/>
                <w:shd w:fill="auto" w:val="clear"/>
                <w:lang w:val="en-US" w:eastAsia="en-US" w:bidi="ar-SA"/>
              </w:rPr>
            </w:r>
          </w:p>
        </w:tc>
        <w:tc>
          <w:tcPr>
            <w:tcW w:w="135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Participation of FSVPS delegation in Seafood Espo Bharat</w:t>
            </w:r>
          </w:p>
        </w:tc>
        <w:tc>
          <w:tcPr>
            <w:tcW w:w="122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01-03 July 2026, Chennai</w:t>
            </w:r>
          </w:p>
        </w:tc>
        <w:tc>
          <w:tcPr>
            <w:tcW w:w="132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4</w:t>
            </w:r>
          </w:p>
        </w:tc>
        <w:tc>
          <w:tcPr>
            <w:tcW w:w="1584"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FSVPS</w:t>
            </w:r>
          </w:p>
        </w:tc>
        <w:tc>
          <w:tcPr>
            <w:tcW w:w="109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4</w:t>
            </w:r>
          </w:p>
        </w:tc>
        <w:tc>
          <w:tcPr>
            <w:tcW w:w="288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color w:val="000000"/>
                <w:kern w:val="0"/>
                <w:sz w:val="18"/>
                <w:szCs w:val="18"/>
                <w:shd w:fill="auto" w:val="clear"/>
                <w:lang w:val="en-US" w:eastAsia="en-US" w:bidi="ar-SA"/>
              </w:rPr>
              <w:t>Participation in Seafood Expo Bharat</w:t>
            </w:r>
          </w:p>
        </w:tc>
      </w:tr>
    </w:tbl>
    <w:p>
      <w:pPr>
        <w:pStyle w:val="Normal"/>
        <w:numPr>
          <w:ilvl w:val="0"/>
          <w:numId w:val="0"/>
        </w:numPr>
        <w:tabs>
          <w:tab w:val="clear" w:pos="709"/>
          <w:tab w:val="left" w:pos="993" w:leader="none"/>
        </w:tabs>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9021" w:type="dxa"/>
        <w:jc w:val="left"/>
        <w:tblInd w:w="1116" w:type="dxa"/>
        <w:tblLayout w:type="fixed"/>
        <w:tblCellMar>
          <w:top w:w="0" w:type="dxa"/>
          <w:left w:w="108" w:type="dxa"/>
          <w:bottom w:w="0" w:type="dxa"/>
          <w:right w:w="108" w:type="dxa"/>
        </w:tblCellMar>
      </w:tblPr>
      <w:tblGrid>
        <w:gridCol w:w="1980"/>
        <w:gridCol w:w="7041"/>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Visa Section of Embassy of India, Moscow, Records of E&amp;C Wing</w:t>
            </w:r>
          </w:p>
        </w:tc>
      </w:tr>
    </w:tbl>
    <w:p>
      <w:pPr>
        <w:pStyle w:val="Normal"/>
        <w:numPr>
          <w:ilvl w:val="0"/>
          <w:numId w:val="0"/>
        </w:numPr>
        <w:tabs>
          <w:tab w:val="clear" w:pos="709"/>
          <w:tab w:val="left" w:pos="993" w:leader="none"/>
        </w:tabs>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left"/>
        <w:outlineLvl w:val="0"/>
        <w:rPr>
          <w:rFonts w:ascii="Arial" w:hAnsi="Arial"/>
          <w:sz w:val="18"/>
          <w:szCs w:val="18"/>
        </w:rPr>
      </w:pPr>
      <w:r>
        <w:rPr>
          <w:rFonts w:cs="Arial" w:ascii="Arial" w:hAnsi="Arial"/>
          <w:b/>
          <w:color w:val="000000"/>
          <w:sz w:val="18"/>
          <w:szCs w:val="18"/>
          <w:u w:val="single"/>
          <w:shd w:fill="auto" w:val="clear"/>
        </w:rPr>
        <w:t>C.</w:t>
        <w:tab/>
        <w:t>Tourism</w:t>
      </w:r>
      <w:r>
        <w:rPr>
          <w:rFonts w:cs="Arial" w:ascii="Arial" w:hAnsi="Arial"/>
          <w:b/>
          <w:color w:val="000000"/>
          <w:sz w:val="18"/>
          <w:szCs w:val="18"/>
          <w:shd w:fill="auto" w:val="clear"/>
        </w:rPr>
        <w:t>:</w:t>
      </w:r>
    </w:p>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p>
      <w:pPr>
        <w:pStyle w:val="Normal"/>
        <w:widowControl w:val="false"/>
        <w:shd w:val="clear" w:fill="FFFFFF"/>
        <w:bidi w:val="0"/>
        <w:spacing w:lineRule="auto" w:line="240" w:before="0" w:after="0"/>
        <w:ind w:hanging="0" w:left="0" w:right="0"/>
        <w:jc w:val="left"/>
        <w:rPr>
          <w:rFonts w:ascii="Arial" w:hAnsi="Arial"/>
          <w:sz w:val="18"/>
          <w:szCs w:val="18"/>
        </w:rPr>
      </w:pPr>
      <w:r>
        <w:rPr>
          <w:rFonts w:eastAsia="Times New Roman" w:cs="Arial" w:ascii="Arial" w:hAnsi="Arial"/>
          <w:b/>
          <w:color w:val="000000"/>
          <w:sz w:val="18"/>
          <w:szCs w:val="18"/>
          <w:shd w:fill="auto" w:val="clear"/>
        </w:rPr>
        <w:t>a. Tourist/Business Visa Issued by Missions:</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31" w:type="dxa"/>
        <w:jc w:val="left"/>
        <w:tblInd w:w="108" w:type="dxa"/>
        <w:tblLayout w:type="fixed"/>
        <w:tblCellMar>
          <w:top w:w="0" w:type="dxa"/>
          <w:left w:w="108" w:type="dxa"/>
          <w:bottom w:w="0" w:type="dxa"/>
          <w:right w:w="108" w:type="dxa"/>
        </w:tblCellMar>
      </w:tblPr>
      <w:tblGrid>
        <w:gridCol w:w="656"/>
        <w:gridCol w:w="4359"/>
        <w:gridCol w:w="5016"/>
      </w:tblGrid>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color w:val="000000"/>
                <w:kern w:val="0"/>
                <w:sz w:val="18"/>
                <w:szCs w:val="18"/>
                <w:shd w:fill="auto" w:val="clear"/>
                <w:lang w:val="en-IN" w:eastAsia="en-US" w:bidi="ar-SA"/>
              </w:rPr>
              <w:t>S. No.</w:t>
            </w:r>
          </w:p>
        </w:tc>
        <w:tc>
          <w:tcPr>
            <w:tcW w:w="43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strike w:val="false"/>
                <w:dstrike w:val="false"/>
                <w:color w:val="000000"/>
                <w:kern w:val="0"/>
                <w:sz w:val="18"/>
                <w:szCs w:val="18"/>
                <w:shd w:fill="auto" w:val="clear"/>
                <w:lang w:val="en-IN" w:eastAsia="en-US" w:bidi="ar-SA"/>
              </w:rPr>
              <w:t>No. of Tourist Visa issued during</w:t>
            </w:r>
          </w:p>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strike w:val="false"/>
                <w:dstrike w:val="false"/>
                <w:color w:val="000000"/>
                <w:kern w:val="0"/>
                <w:sz w:val="18"/>
                <w:szCs w:val="18"/>
                <w:shd w:fill="auto" w:val="clear"/>
                <w:lang w:val="en-IN" w:eastAsia="en-US" w:bidi="ar-SA"/>
              </w:rPr>
              <w:t>July 2026</w:t>
            </w:r>
          </w:p>
        </w:tc>
        <w:tc>
          <w:tcPr>
            <w:tcW w:w="5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bCs/>
                <w:strike w:val="false"/>
                <w:dstrike w:val="false"/>
                <w:color w:val="000000"/>
                <w:kern w:val="0"/>
                <w:sz w:val="18"/>
                <w:szCs w:val="18"/>
                <w:shd w:fill="auto" w:val="clear"/>
                <w:lang w:val="en-IN" w:eastAsia="en-US" w:bidi="ar-SA"/>
              </w:rPr>
              <w:t>No. of Business Visa issued during</w:t>
              <w:br/>
              <w:t>July 2026</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color w:val="000000"/>
                <w:kern w:val="0"/>
                <w:sz w:val="18"/>
                <w:szCs w:val="18"/>
                <w:shd w:fill="auto" w:val="clear"/>
                <w:lang w:val="en-US" w:eastAsia="en-US" w:bidi="ar-SA"/>
              </w:rPr>
              <w:t>1.</w:t>
            </w:r>
          </w:p>
        </w:tc>
        <w:tc>
          <w:tcPr>
            <w:tcW w:w="435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val="false"/>
                <w:bCs w:val="false"/>
                <w:strike w:val="false"/>
                <w:dstrike w:val="false"/>
                <w:color w:val="000000"/>
                <w:kern w:val="0"/>
                <w:sz w:val="18"/>
                <w:szCs w:val="18"/>
                <w:shd w:fill="auto" w:val="clear"/>
                <w:lang w:val="en-US" w:eastAsia="en-US" w:bidi="ar-SA"/>
              </w:rPr>
              <w:t xml:space="preserve">09 in </w:t>
            </w:r>
            <w:r>
              <w:rPr>
                <w:rFonts w:eastAsia="Calibri" w:cs="Arial" w:ascii="Arial" w:hAnsi="Arial"/>
                <w:b w:val="false"/>
                <w:bCs w:val="false"/>
                <w:strike w:val="false"/>
                <w:dstrike w:val="false"/>
                <w:color w:val="000000"/>
                <w:kern w:val="0"/>
                <w:sz w:val="18"/>
                <w:szCs w:val="18"/>
                <w:shd w:fill="auto" w:val="clear"/>
                <w:lang w:val="en-IN" w:eastAsia="en-US" w:bidi="ar-SA"/>
              </w:rPr>
              <w:t>July</w:t>
            </w:r>
            <w:r>
              <w:rPr>
                <w:rFonts w:eastAsia="Calibri" w:cs="Arial" w:ascii="Arial" w:hAnsi="Arial"/>
                <w:b w:val="false"/>
                <w:bCs w:val="false"/>
                <w:strike w:val="false"/>
                <w:dstrike w:val="false"/>
                <w:color w:val="000000"/>
                <w:kern w:val="0"/>
                <w:sz w:val="18"/>
                <w:szCs w:val="18"/>
                <w:shd w:fill="auto" w:val="clear"/>
                <w:lang w:val="en-US" w:eastAsia="en-US" w:bidi="ar-SA"/>
              </w:rPr>
              <w:t xml:space="preserve"> 2026</w:t>
            </w:r>
          </w:p>
        </w:tc>
        <w:tc>
          <w:tcPr>
            <w:tcW w:w="5016"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b w:val="false"/>
                <w:bCs w:val="false"/>
                <w:strike w:val="false"/>
                <w:dstrike w:val="false"/>
                <w:color w:val="000000"/>
                <w:kern w:val="0"/>
                <w:sz w:val="18"/>
                <w:szCs w:val="18"/>
                <w:shd w:fill="auto" w:val="clear"/>
                <w:lang w:val="en-US" w:eastAsia="en-US" w:bidi="ar-SA"/>
              </w:rPr>
              <w:t xml:space="preserve">146 in </w:t>
            </w:r>
            <w:r>
              <w:rPr>
                <w:rFonts w:eastAsia="Calibri" w:cs="Arial" w:ascii="Arial" w:hAnsi="Arial"/>
                <w:b w:val="false"/>
                <w:bCs w:val="false"/>
                <w:strike w:val="false"/>
                <w:dstrike w:val="false"/>
                <w:color w:val="000000"/>
                <w:kern w:val="0"/>
                <w:sz w:val="18"/>
                <w:szCs w:val="18"/>
                <w:shd w:fill="auto" w:val="clear"/>
                <w:lang w:val="en-IN" w:eastAsia="en-US" w:bidi="ar-SA"/>
              </w:rPr>
              <w:t>July</w:t>
            </w:r>
            <w:r>
              <w:rPr>
                <w:rFonts w:eastAsia="Calibri" w:cs="Arial" w:ascii="Arial" w:hAnsi="Arial"/>
                <w:b w:val="false"/>
                <w:bCs w:val="false"/>
                <w:strike w:val="false"/>
                <w:dstrike w:val="false"/>
                <w:color w:val="000000"/>
                <w:kern w:val="0"/>
                <w:sz w:val="18"/>
                <w:szCs w:val="18"/>
                <w:shd w:fill="auto" w:val="clear"/>
                <w:lang w:val="en-US" w:eastAsia="en-US" w:bidi="ar-SA"/>
              </w:rPr>
              <w:t xml:space="preserve"> 2026</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9021" w:type="dxa"/>
        <w:jc w:val="left"/>
        <w:tblInd w:w="1116" w:type="dxa"/>
        <w:tblLayout w:type="fixed"/>
        <w:tblCellMar>
          <w:top w:w="0" w:type="dxa"/>
          <w:left w:w="108" w:type="dxa"/>
          <w:bottom w:w="0" w:type="dxa"/>
          <w:right w:w="108" w:type="dxa"/>
        </w:tblCellMar>
      </w:tblPr>
      <w:tblGrid>
        <w:gridCol w:w="1980"/>
        <w:gridCol w:w="7041"/>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Visa Section of Embassy of India, Moscow</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rPr>
      </w:pPr>
      <w:r>
        <w:rPr>
          <w:rFonts w:cs="Arial" w:ascii="Arial" w:hAnsi="Arial"/>
          <w:b/>
          <w:color w:val="000000"/>
          <w:sz w:val="18"/>
          <w:szCs w:val="18"/>
          <w:shd w:fill="auto" w:val="clear"/>
        </w:rPr>
        <w:t>b.  Any advisory issued by the country for travelling to India:</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29" w:type="dxa"/>
        <w:jc w:val="left"/>
        <w:tblInd w:w="113" w:type="dxa"/>
        <w:tblLayout w:type="fixed"/>
        <w:tblCellMar>
          <w:top w:w="55" w:type="dxa"/>
          <w:left w:w="108" w:type="dxa"/>
          <w:bottom w:w="55" w:type="dxa"/>
          <w:right w:w="108" w:type="dxa"/>
        </w:tblCellMar>
      </w:tblPr>
      <w:tblGrid>
        <w:gridCol w:w="518"/>
        <w:gridCol w:w="1299"/>
        <w:gridCol w:w="5278"/>
        <w:gridCol w:w="1562"/>
        <w:gridCol w:w="1372"/>
      </w:tblGrid>
      <w:tr>
        <w:trPr/>
        <w:tc>
          <w:tcPr>
            <w:tcW w:w="518"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S. No.</w:t>
            </w:r>
          </w:p>
        </w:tc>
        <w:tc>
          <w:tcPr>
            <w:tcW w:w="1299"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Date</w:t>
            </w:r>
          </w:p>
        </w:tc>
        <w:tc>
          <w:tcPr>
            <w:tcW w:w="5278"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Advisory</w:t>
            </w:r>
          </w:p>
        </w:tc>
        <w:tc>
          <w:tcPr>
            <w:tcW w:w="1562"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Reason</w:t>
            </w:r>
          </w:p>
        </w:tc>
        <w:tc>
          <w:tcPr>
            <w:tcW w:w="1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Action Taken</w:t>
            </w:r>
          </w:p>
        </w:tc>
      </w:tr>
      <w:tr>
        <w:trPr/>
        <w:tc>
          <w:tcPr>
            <w:tcW w:w="518" w:type="dxa"/>
            <w:tcBorders>
              <w:left w:val="single" w:sz="4" w:space="0" w:color="000000"/>
              <w:bottom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eastAsia="Calibri" w:cs="Arial" w:ascii="Arial" w:hAnsi="Arial"/>
                <w:strike w:val="false"/>
                <w:dstrike w:val="false"/>
                <w:color w:val="000000"/>
                <w:kern w:val="0"/>
                <w:sz w:val="18"/>
                <w:szCs w:val="18"/>
                <w:shd w:fill="auto" w:val="clear"/>
                <w:lang w:val="en-US" w:eastAsia="en-US" w:bidi="ar-SA"/>
              </w:rPr>
              <w:t>1</w:t>
            </w:r>
          </w:p>
        </w:tc>
        <w:tc>
          <w:tcPr>
            <w:tcW w:w="1299" w:type="dxa"/>
            <w:tcBorders>
              <w:left w:val="single" w:sz="4" w:space="0" w:color="000000"/>
              <w:bottom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strike w:val="false"/>
                <w:dstrike w:val="false"/>
                <w:color w:val="000000"/>
                <w:kern w:val="0"/>
                <w:sz w:val="18"/>
                <w:szCs w:val="18"/>
                <w:shd w:fill="auto" w:val="clear"/>
                <w:lang w:val="en-US" w:eastAsia="en-US" w:bidi="ar-SA"/>
              </w:rPr>
              <w:t>NA</w:t>
            </w:r>
          </w:p>
        </w:tc>
        <w:tc>
          <w:tcPr>
            <w:tcW w:w="5278" w:type="dxa"/>
            <w:tcBorders>
              <w:left w:val="single" w:sz="4" w:space="0" w:color="000000"/>
              <w:bottom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strike w:val="false"/>
                <w:dstrike w:val="false"/>
                <w:color w:val="000000"/>
                <w:kern w:val="0"/>
                <w:sz w:val="18"/>
                <w:szCs w:val="18"/>
                <w:shd w:fill="auto" w:val="clear"/>
                <w:lang w:val="en-US" w:eastAsia="en-US" w:bidi="ar-SA"/>
              </w:rPr>
              <w:t>NA</w:t>
            </w:r>
          </w:p>
        </w:tc>
        <w:tc>
          <w:tcPr>
            <w:tcW w:w="1562" w:type="dxa"/>
            <w:tcBorders>
              <w:left w:val="single" w:sz="4" w:space="0" w:color="000000"/>
              <w:bottom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strike w:val="false"/>
                <w:dstrike w:val="false"/>
                <w:color w:val="000000"/>
                <w:kern w:val="0"/>
                <w:sz w:val="18"/>
                <w:szCs w:val="18"/>
                <w:shd w:fill="auto" w:val="clear"/>
                <w:lang w:val="en-US" w:eastAsia="en-US" w:bidi="ar-SA"/>
              </w:rPr>
              <w:t>NA</w:t>
            </w:r>
          </w:p>
        </w:tc>
        <w:tc>
          <w:tcPr>
            <w:tcW w:w="137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strike w:val="false"/>
                <w:dstrike w:val="false"/>
                <w:color w:val="000000"/>
                <w:kern w:val="0"/>
                <w:sz w:val="18"/>
                <w:szCs w:val="18"/>
                <w:shd w:fill="auto" w:val="clear"/>
                <w:lang w:val="en-US" w:eastAsia="en-US" w:bidi="ar-SA"/>
              </w:rPr>
              <w:t>NA</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rHeight w:val="288" w:hRule="atLeast"/>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6840" w:type="dxa"/>
            <w:tcBorders>
              <w:top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pPr>
            <w:r>
              <w:rPr>
                <w:rStyle w:val="Hyperlink"/>
                <w:rFonts w:cs="Arial" w:ascii="Arial" w:hAnsi="Arial"/>
                <w:color w:val="000000"/>
                <w:kern w:val="0"/>
                <w:sz w:val="18"/>
                <w:szCs w:val="18"/>
                <w:u w:val="none"/>
                <w:shd w:fill="auto" w:val="clear"/>
                <w:lang w:eastAsia="en-US" w:bidi="ar-SA"/>
              </w:rPr>
              <w:t xml:space="preserve"> </w:t>
            </w:r>
            <w:r>
              <w:rPr>
                <w:rStyle w:val="Hyperlink"/>
                <w:rFonts w:eastAsia="Calibri" w:cs="Times New Roman" w:ascii="Arial" w:hAnsi="Arial"/>
                <w:b w:val="false"/>
                <w:bCs w:val="false"/>
                <w:color w:val="000000"/>
                <w:kern w:val="0"/>
                <w:sz w:val="18"/>
                <w:szCs w:val="18"/>
                <w:u w:val="none"/>
                <w:shd w:fill="auto" w:val="clear"/>
                <w:lang w:val="en-US" w:eastAsia="en-US" w:bidi="ar-SA"/>
              </w:rPr>
              <w:t>Embassy of Russia in New Delhi</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r>
        <w:br w:type="page"/>
      </w:r>
    </w:p>
    <w:p>
      <w:pPr>
        <w:pStyle w:val="Normal"/>
        <w:numPr>
          <w:ilvl w:val="0"/>
          <w:numId w:val="0"/>
        </w:numPr>
        <w:bidi w:val="0"/>
        <w:spacing w:lineRule="auto" w:line="240" w:before="0" w:after="0"/>
        <w:ind w:hanging="0" w:left="0" w:right="0"/>
        <w:jc w:val="left"/>
        <w:outlineLvl w:val="0"/>
        <w:rPr>
          <w:rFonts w:ascii="Arial" w:hAnsi="Arial"/>
          <w:sz w:val="18"/>
          <w:szCs w:val="18"/>
        </w:rPr>
      </w:pPr>
      <w:r>
        <w:rPr>
          <w:rFonts w:cs="Arial" w:ascii="Arial" w:hAnsi="Arial"/>
          <w:b/>
          <w:color w:val="000000"/>
          <w:sz w:val="18"/>
          <w:szCs w:val="18"/>
          <w:u w:val="single"/>
          <w:shd w:fill="auto" w:val="clear"/>
        </w:rPr>
        <w:t>D.</w:t>
        <w:tab/>
        <w:t>Opportunities in technology/Investment/Procurement:</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rPr>
      </w:pPr>
      <w:r>
        <w:rPr>
          <w:rFonts w:cs="Arial" w:ascii="Arial" w:hAnsi="Arial"/>
          <w:b/>
          <w:color w:val="000000"/>
          <w:sz w:val="18"/>
          <w:szCs w:val="18"/>
          <w:shd w:fill="auto" w:val="clear"/>
        </w:rPr>
        <w:t>a. Opportunities in technology:</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28" w:type="dxa"/>
        <w:jc w:val="left"/>
        <w:tblInd w:w="108" w:type="dxa"/>
        <w:tblLayout w:type="fixed"/>
        <w:tblCellMar>
          <w:top w:w="0" w:type="dxa"/>
          <w:left w:w="108" w:type="dxa"/>
          <w:bottom w:w="0" w:type="dxa"/>
          <w:right w:w="108" w:type="dxa"/>
        </w:tblCellMar>
      </w:tblPr>
      <w:tblGrid>
        <w:gridCol w:w="537"/>
        <w:gridCol w:w="1267"/>
        <w:gridCol w:w="1091"/>
        <w:gridCol w:w="5130"/>
        <w:gridCol w:w="2003"/>
      </w:tblGrid>
      <w:tr>
        <w:trPr/>
        <w:tc>
          <w:tcPr>
            <w:tcW w:w="5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S. No.</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Name of Technology</w:t>
            </w:r>
          </w:p>
        </w:tc>
        <w:tc>
          <w:tcPr>
            <w:tcW w:w="10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Sector</w:t>
            </w:r>
          </w:p>
        </w:tc>
        <w:tc>
          <w:tcPr>
            <w:tcW w:w="5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Potential opportunity for ToT/ collaboration</w:t>
            </w:r>
          </w:p>
        </w:tc>
        <w:tc>
          <w:tcPr>
            <w:tcW w:w="2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B2B partnership possible/ identified companies</w:t>
            </w:r>
          </w:p>
        </w:tc>
      </w:tr>
      <w:tr>
        <w:trPr/>
        <w:tc>
          <w:tcPr>
            <w:tcW w:w="53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1</w:t>
            </w:r>
          </w:p>
        </w:tc>
        <w:tc>
          <w:tcPr>
            <w:tcW w:w="1267" w:type="dxa"/>
            <w:tcBorders>
              <w:left w:val="single" w:sz="4" w:space="0" w:color="000000"/>
              <w:bottom w:val="single" w:sz="4" w:space="0" w:color="000000"/>
              <w:right w:val="single" w:sz="4" w:space="0" w:color="000000"/>
            </w:tcBorders>
          </w:tcPr>
          <w:p>
            <w:pPr>
              <w:pStyle w:val="TableContents"/>
              <w:widowControl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Mathematical model for predicting tuberculosis</w:t>
            </w:r>
          </w:p>
        </w:tc>
        <w:tc>
          <w:tcPr>
            <w:tcW w:w="1091" w:type="dxa"/>
            <w:tcBorders>
              <w:left w:val="single" w:sz="4" w:space="0" w:color="000000"/>
              <w:bottom w:val="single" w:sz="4" w:space="0" w:color="000000"/>
              <w:right w:val="single" w:sz="4" w:space="0" w:color="000000"/>
            </w:tcBorders>
          </w:tcPr>
          <w:p>
            <w:pPr>
              <w:pStyle w:val="TableContents"/>
              <w:widowControl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Mathematics (health care)</w:t>
            </w:r>
          </w:p>
        </w:tc>
        <w:tc>
          <w:tcPr>
            <w:tcW w:w="5130" w:type="dxa"/>
            <w:tcBorders>
              <w:left w:val="single" w:sz="4" w:space="0" w:color="000000"/>
              <w:bottom w:val="single" w:sz="4" w:space="0" w:color="000000"/>
              <w:right w:val="single" w:sz="4" w:space="0" w:color="000000"/>
            </w:tcBorders>
          </w:tcPr>
          <w:p>
            <w:pPr>
              <w:pStyle w:val="TableContents"/>
              <w:widowControl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The model takes into account not only confirmed cases but also latent (hidden) infection, which can progress to active infection. The formula incorporates parameters for contagiousness and detection rate. Scientists (including those from Sirius University) validated the model using data from five regions with high incidence (Altai Republic, Novosibirsk Oblast, Zabaykalsky Krai, Irkutsk Oblast, and the Tyva Republic).</w:t>
            </w:r>
          </w:p>
          <w:p>
            <w:pPr>
              <w:pStyle w:val="TableContents"/>
              <w:widowControl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The model is important for planning tuberculosis control measures in the regions: it helps determine where to increase X-ray screening coverage, implement sensitive diagnostic methods, and account for drug-resistant strains.</w:t>
            </w:r>
          </w:p>
        </w:tc>
        <w:tc>
          <w:tcPr>
            <w:tcW w:w="200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Clinics</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9015" w:type="dxa"/>
        <w:jc w:val="left"/>
        <w:tblInd w:w="1116" w:type="dxa"/>
        <w:tblLayout w:type="fixed"/>
        <w:tblCellMar>
          <w:top w:w="0" w:type="dxa"/>
          <w:left w:w="108" w:type="dxa"/>
          <w:bottom w:w="0" w:type="dxa"/>
          <w:right w:w="108" w:type="dxa"/>
        </w:tblCellMar>
      </w:tblPr>
      <w:tblGrid>
        <w:gridCol w:w="1976"/>
        <w:gridCol w:w="7039"/>
      </w:tblGrid>
      <w:tr>
        <w:trPr/>
        <w:tc>
          <w:tcPr>
            <w:tcW w:w="1976"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Media reports</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rPr>
      </w:pPr>
      <w:r>
        <w:rPr>
          <w:rFonts w:cs="Arial" w:ascii="Arial" w:hAnsi="Arial"/>
          <w:b/>
          <w:color w:val="000000"/>
          <w:sz w:val="18"/>
          <w:szCs w:val="18"/>
          <w:shd w:fill="auto" w:val="clear"/>
        </w:rPr>
        <w:t>b. Opportunities in procurement:</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29" w:type="dxa"/>
        <w:jc w:val="left"/>
        <w:tblInd w:w="108" w:type="dxa"/>
        <w:tblLayout w:type="fixed"/>
        <w:tblCellMar>
          <w:top w:w="55" w:type="dxa"/>
          <w:left w:w="108" w:type="dxa"/>
          <w:bottom w:w="55" w:type="dxa"/>
          <w:right w:w="108" w:type="dxa"/>
        </w:tblCellMar>
      </w:tblPr>
      <w:tblGrid>
        <w:gridCol w:w="598"/>
        <w:gridCol w:w="1823"/>
        <w:gridCol w:w="1235"/>
        <w:gridCol w:w="3433"/>
        <w:gridCol w:w="2940"/>
      </w:tblGrid>
      <w:tr>
        <w:trPr/>
        <w:tc>
          <w:tcPr>
            <w:tcW w:w="598"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S. No.</w:t>
            </w:r>
          </w:p>
        </w:tc>
        <w:tc>
          <w:tcPr>
            <w:tcW w:w="1823"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Sector</w:t>
            </w:r>
          </w:p>
        </w:tc>
        <w:tc>
          <w:tcPr>
            <w:tcW w:w="1235"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Sector</w:t>
            </w:r>
          </w:p>
        </w:tc>
        <w:tc>
          <w:tcPr>
            <w:tcW w:w="3433"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Potential opportunity for ToT/ collaboration</w:t>
            </w:r>
          </w:p>
        </w:tc>
        <w:tc>
          <w:tcPr>
            <w:tcW w:w="29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B2B partnership possible/ identified companies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Electrical equipment</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Forging for Rotor Shaft for BHEL</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Electrical equipment</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Rotor Forging for BHEL</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Electrical equipment</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Protection coat resin E 8702 to HW29946 REV.05 270 KG ±5% for BHEL for BHEL</w:t>
            </w:r>
          </w:p>
          <w:p>
            <w:pPr>
              <w:pStyle w:val="Normal"/>
              <w:widowControl w:val="false"/>
              <w:suppressAutoHyphens w:val="true"/>
              <w:bidi w:val="0"/>
              <w:spacing w:lineRule="auto" w:line="240" w:before="0" w:after="0"/>
              <w:ind w:hanging="0" w:left="0" w:right="0"/>
              <w:jc w:val="left"/>
              <w:rPr>
                <w:rFonts w:ascii="Arial" w:hAnsi="Arial" w:cs="Arial"/>
                <w:color w:val="000000"/>
                <w:sz w:val="18"/>
                <w:szCs w:val="18"/>
                <w:shd w:fill="auto" w:val="clear"/>
              </w:rPr>
            </w:pPr>
            <w:r>
              <w:rPr>
                <w:rFonts w:cs="Arial" w:ascii="Arial" w:hAnsi="Arial"/>
                <w:color w:val="000000"/>
                <w:sz w:val="18"/>
                <w:szCs w:val="18"/>
                <w:shd w:fill="auto" w:val="clear"/>
              </w:rPr>
            </w:r>
          </w:p>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Protection coat curing agent "Z" to HW29978 REV.04 90 KG ±5%</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Electrical equipment</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BOS package for development of 1200MW Grid Connected Solar PV Projects at Anantpur, Andhra Pradesh for BHEL</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Metallurgy</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Steel production</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Supply of Low silica SMS grade limestone (40 - 80 mm size) for RINL</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Electrical equipment</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Casting for overload valve casing (R/M) for BHEL</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Electrical equipment</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Forging for HP shaft (rough machined) for BHEL</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Electrical equipment</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Supply for LP shaft of steam turbine  for BHEL</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Additive technologies</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Procurement of supply,</w:t>
            </w:r>
          </w:p>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Installation and commissioning of 3D printer for Council of Scientific and Industrial Research</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Additive technologies</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Supply, installation and commissioning of material texture scanner for Council of Scientific and Industrial Research</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r>
        <w:trPr/>
        <w:tc>
          <w:tcPr>
            <w:tcW w:w="598" w:type="dxa"/>
            <w:tcBorders>
              <w:left w:val="single" w:sz="4" w:space="0" w:color="000000"/>
              <w:bottom w:val="single" w:sz="4" w:space="0" w:color="000000"/>
            </w:tcBorders>
          </w:tcPr>
          <w:p>
            <w:pPr>
              <w:pStyle w:val="Normal"/>
              <w:widowControl w:val="false"/>
              <w:numPr>
                <w:ilvl w:val="0"/>
                <w:numId w:val="5"/>
              </w:numPr>
              <w:suppressAutoHyphens w:val="true"/>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82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Engineering</w:t>
            </w:r>
          </w:p>
        </w:tc>
        <w:tc>
          <w:tcPr>
            <w:tcW w:w="1235"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Energy</w:t>
            </w:r>
          </w:p>
        </w:tc>
        <w:tc>
          <w:tcPr>
            <w:tcW w:w="3433" w:type="dxa"/>
            <w:tcBorders>
              <w:left w:val="single" w:sz="4" w:space="0" w:color="000000"/>
              <w:bottom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Setting up the Advance Chemistry Cell (ACC) Manufacturing Units for Grid Scale Stationary Storage applications in India, with a cumulative manufacturing capacity of 10 GWh for Ministry of Heavy Industries</w:t>
            </w:r>
          </w:p>
        </w:tc>
        <w:tc>
          <w:tcPr>
            <w:tcW w:w="29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was disseminated amongst Russian stakeholders</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9015" w:type="dxa"/>
        <w:jc w:val="left"/>
        <w:tblInd w:w="1116" w:type="dxa"/>
        <w:tblLayout w:type="fixed"/>
        <w:tblCellMar>
          <w:top w:w="0" w:type="dxa"/>
          <w:left w:w="108" w:type="dxa"/>
          <w:bottom w:w="0" w:type="dxa"/>
          <w:right w:w="108" w:type="dxa"/>
        </w:tblCellMar>
      </w:tblPr>
      <w:tblGrid>
        <w:gridCol w:w="1976"/>
        <w:gridCol w:w="7039"/>
      </w:tblGrid>
      <w:tr>
        <w:trPr/>
        <w:tc>
          <w:tcPr>
            <w:tcW w:w="1976"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Records of E&amp;C Wing</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rPr>
      </w:pPr>
      <w:r>
        <w:rPr>
          <w:rFonts w:cs="Arial" w:ascii="Arial" w:hAnsi="Arial"/>
          <w:b/>
          <w:color w:val="000000"/>
          <w:sz w:val="18"/>
          <w:szCs w:val="18"/>
          <w:shd w:fill="auto" w:val="clear"/>
        </w:rPr>
        <w:t>c. Outbound Opportunities for investments/ assets on offer/major company divestment:</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22" w:type="dxa"/>
        <w:jc w:val="left"/>
        <w:tblInd w:w="113" w:type="dxa"/>
        <w:tblLayout w:type="fixed"/>
        <w:tblCellMar>
          <w:top w:w="0" w:type="dxa"/>
          <w:left w:w="108" w:type="dxa"/>
          <w:bottom w:w="0" w:type="dxa"/>
          <w:right w:w="108" w:type="dxa"/>
        </w:tblCellMar>
      </w:tblPr>
      <w:tblGrid>
        <w:gridCol w:w="626"/>
        <w:gridCol w:w="1619"/>
        <w:gridCol w:w="5247"/>
        <w:gridCol w:w="2530"/>
      </w:tblGrid>
      <w:tr>
        <w:trPr/>
        <w:tc>
          <w:tcPr>
            <w:tcW w:w="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SR No.</w:t>
            </w:r>
          </w:p>
        </w:tc>
        <w:tc>
          <w:tcPr>
            <w:tcW w:w="1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Sector Name</w:t>
            </w:r>
          </w:p>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(List attached)</w:t>
            </w:r>
          </w:p>
        </w:tc>
        <w:tc>
          <w:tcPr>
            <w:tcW w:w="5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Particulars of the asset /company</w:t>
            </w:r>
          </w:p>
        </w:tc>
        <w:tc>
          <w:tcPr>
            <w:tcW w:w="2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Contact details</w:t>
            </w:r>
          </w:p>
        </w:tc>
      </w:tr>
      <w:tr>
        <w:trPr/>
        <w:tc>
          <w:tcPr>
            <w:tcW w:w="62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1</w:t>
            </w:r>
          </w:p>
        </w:tc>
        <w:tc>
          <w:tcPr>
            <w:tcW w:w="161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Tourism</w:t>
            </w:r>
          </w:p>
        </w:tc>
        <w:tc>
          <w:tcPr>
            <w:tcW w:w="524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Development of ski resort “White Mountain” in Sverdlovsk Region</w:t>
            </w:r>
          </w:p>
        </w:tc>
        <w:tc>
          <w:tcPr>
            <w:tcW w:w="253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Sverdlovsk Region investment attraction agency</w:t>
            </w:r>
          </w:p>
          <w:p>
            <w:pPr>
              <w:pStyle w:val="Normal"/>
              <w:widowControl w:val="false"/>
              <w:bidi w:val="0"/>
              <w:spacing w:lineRule="auto" w:line="240" w:before="0" w:after="0"/>
              <w:ind w:hanging="0" w:left="0" w:right="0"/>
              <w:jc w:val="center"/>
              <w:rPr/>
            </w:pPr>
            <w:hyperlink r:id="rId4">
              <w:r>
                <w:rPr>
                  <w:rStyle w:val="Hyperlink"/>
                  <w:rFonts w:eastAsia="Calibri" w:cs="Times New Roman" w:ascii="Arial" w:hAnsi="Arial"/>
                  <w:color w:val="000000"/>
                  <w:kern w:val="0"/>
                  <w:sz w:val="18"/>
                  <w:szCs w:val="18"/>
                  <w:shd w:fill="auto" w:val="clear"/>
                  <w:lang w:val="en-US" w:eastAsia="en-US" w:bidi="ar-SA"/>
                </w:rPr>
                <w:t>welcome@ai-so.ru</w:t>
              </w:r>
            </w:hyperlink>
          </w:p>
          <w:p>
            <w:pPr>
              <w:pStyle w:val="Normal"/>
              <w:widowControl w:val="false"/>
              <w:bidi w:val="0"/>
              <w:spacing w:lineRule="auto" w:line="240" w:before="0" w:after="0"/>
              <w:ind w:hanging="0" w:left="0" w:right="0"/>
              <w:jc w:val="center"/>
              <w:rPr>
                <w:rFonts w:ascii="Arial" w:hAnsi="Arial" w:eastAsia="Calibri" w:cs="Times New Roman"/>
                <w:color w:val="000000"/>
                <w:kern w:val="0"/>
                <w:sz w:val="18"/>
                <w:szCs w:val="18"/>
                <w:shd w:fill="auto" w:val="clear"/>
                <w:lang w:val="en-US" w:eastAsia="en-US" w:bidi="ar-SA"/>
              </w:rPr>
            </w:pPr>
            <w:r>
              <w:rPr>
                <w:rFonts w:eastAsia="Calibri" w:cs="Times New Roman" w:ascii="Arial" w:hAnsi="Arial"/>
                <w:color w:val="000000"/>
                <w:kern w:val="0"/>
                <w:sz w:val="18"/>
                <w:szCs w:val="18"/>
                <w:shd w:fill="auto" w:val="clear"/>
                <w:lang w:val="en-US" w:eastAsia="en-US" w:bidi="ar-SA"/>
              </w:rPr>
            </w:r>
          </w:p>
        </w:tc>
      </w:tr>
      <w:tr>
        <w:trPr/>
        <w:tc>
          <w:tcPr>
            <w:tcW w:w="62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2</w:t>
            </w:r>
          </w:p>
        </w:tc>
        <w:tc>
          <w:tcPr>
            <w:tcW w:w="161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Food processing</w:t>
            </w:r>
          </w:p>
        </w:tc>
        <w:tc>
          <w:tcPr>
            <w:tcW w:w="524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Creation of fish processing plant in Komi Republic</w:t>
            </w:r>
          </w:p>
        </w:tc>
        <w:tc>
          <w:tcPr>
            <w:tcW w:w="253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Ministry of Economic Development and Industry of Komi Republic</w:t>
            </w:r>
          </w:p>
          <w:p>
            <w:pPr>
              <w:pStyle w:val="Normal"/>
              <w:widowControl w:val="false"/>
              <w:bidi w:val="0"/>
              <w:spacing w:lineRule="auto" w:line="240" w:before="0" w:after="0"/>
              <w:ind w:hanging="0" w:left="0" w:right="0"/>
              <w:jc w:val="center"/>
              <w:rPr/>
            </w:pPr>
            <w:hyperlink r:id="rId5">
              <w:r>
                <w:rPr>
                  <w:rStyle w:val="Hyperlink"/>
                  <w:rFonts w:eastAsia="Calibri" w:cs="Times New Roman" w:ascii="Arial" w:hAnsi="Arial"/>
                  <w:color w:val="000000"/>
                  <w:kern w:val="0"/>
                  <w:sz w:val="18"/>
                  <w:szCs w:val="18"/>
                  <w:shd w:fill="auto" w:val="clear"/>
                  <w:lang w:val="en-US" w:eastAsia="en-US" w:bidi="ar-SA"/>
                </w:rPr>
                <w:t>minek@minek.rkomi.ru</w:t>
              </w:r>
            </w:hyperlink>
          </w:p>
        </w:tc>
      </w:tr>
      <w:tr>
        <w:trPr/>
        <w:tc>
          <w:tcPr>
            <w:tcW w:w="626"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3</w:t>
            </w:r>
          </w:p>
        </w:tc>
        <w:tc>
          <w:tcPr>
            <w:tcW w:w="161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Shipbuilding</w:t>
            </w:r>
          </w:p>
        </w:tc>
        <w:tc>
          <w:tcPr>
            <w:tcW w:w="524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Creation of ship repair plant in Arkhangelsk</w:t>
            </w:r>
          </w:p>
        </w:tc>
        <w:tc>
          <w:tcPr>
            <w:tcW w:w="2530"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Times New Roman" w:ascii="Arial" w:hAnsi="Arial"/>
                <w:color w:val="000000"/>
                <w:kern w:val="0"/>
                <w:sz w:val="18"/>
                <w:szCs w:val="18"/>
                <w:shd w:fill="auto" w:val="clear"/>
                <w:lang w:val="en-US" w:eastAsia="en-US" w:bidi="ar-SA"/>
              </w:rPr>
              <w:t>Regional Development Agency of Arkhangelsk Region</w:t>
            </w:r>
          </w:p>
          <w:p>
            <w:pPr>
              <w:pStyle w:val="Normal"/>
              <w:widowControl w:val="false"/>
              <w:bidi w:val="0"/>
              <w:spacing w:lineRule="auto" w:line="240" w:before="0" w:after="0"/>
              <w:ind w:hanging="0" w:left="0" w:right="0"/>
              <w:jc w:val="center"/>
              <w:rPr/>
            </w:pPr>
            <w:hyperlink r:id="rId6">
              <w:r>
                <w:rPr>
                  <w:rStyle w:val="Hyperlink"/>
                  <w:rFonts w:eastAsia="Calibri" w:cs="Times New Roman" w:ascii="Arial" w:hAnsi="Arial"/>
                  <w:color w:val="000000"/>
                  <w:kern w:val="0"/>
                  <w:sz w:val="18"/>
                  <w:szCs w:val="18"/>
                  <w:shd w:fill="auto" w:val="clear"/>
                  <w:lang w:val="en-US" w:eastAsia="en-US" w:bidi="ar-SA"/>
                </w:rPr>
                <w:t>office@msp29.ru</w:t>
              </w:r>
            </w:hyperlink>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9015" w:type="dxa"/>
        <w:jc w:val="left"/>
        <w:tblInd w:w="1116" w:type="dxa"/>
        <w:tblLayout w:type="fixed"/>
        <w:tblCellMar>
          <w:top w:w="0" w:type="dxa"/>
          <w:left w:w="108" w:type="dxa"/>
          <w:bottom w:w="0" w:type="dxa"/>
          <w:right w:w="108" w:type="dxa"/>
        </w:tblCellMar>
      </w:tblPr>
      <w:tblGrid>
        <w:gridCol w:w="1976"/>
        <w:gridCol w:w="7039"/>
      </w:tblGrid>
      <w:tr>
        <w:trPr/>
        <w:tc>
          <w:tcPr>
            <w:tcW w:w="1976"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70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Records of E&amp;C Wing</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rPr>
      </w:pPr>
      <w:r>
        <w:rPr>
          <w:rFonts w:cs="Arial" w:ascii="Arial" w:hAnsi="Arial"/>
          <w:b/>
          <w:color w:val="000000"/>
          <w:sz w:val="18"/>
          <w:szCs w:val="18"/>
          <w:shd w:fill="auto" w:val="clear"/>
        </w:rPr>
        <w:t>d. Export Opportunities - Information on tender Notices for projects and procurement which are open to Indian project exporters/ suppliers (USD 5 million &amp; above) – Government Procurement (GP) as well as non-GP.</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168" w:type="dxa"/>
        <w:jc w:val="left"/>
        <w:tblInd w:w="25" w:type="dxa"/>
        <w:tblLayout w:type="fixed"/>
        <w:tblCellMar>
          <w:top w:w="55" w:type="dxa"/>
          <w:left w:w="55" w:type="dxa"/>
          <w:bottom w:w="55" w:type="dxa"/>
          <w:right w:w="55" w:type="dxa"/>
        </w:tblCellMar>
      </w:tblPr>
      <w:tblGrid>
        <w:gridCol w:w="453"/>
        <w:gridCol w:w="2118"/>
        <w:gridCol w:w="1265"/>
        <w:gridCol w:w="1082"/>
        <w:gridCol w:w="1242"/>
        <w:gridCol w:w="1908"/>
        <w:gridCol w:w="2100"/>
      </w:tblGrid>
      <w:tr>
        <w:trPr/>
        <w:tc>
          <w:tcPr>
            <w:tcW w:w="453" w:type="dxa"/>
            <w:tcBorders>
              <w:top w:val="single" w:sz="2" w:space="0" w:color="000000"/>
              <w:left w:val="single" w:sz="2" w:space="0" w:color="000000"/>
              <w:bottom w:val="single" w:sz="2" w:space="0" w:color="000000"/>
            </w:tcBorders>
          </w:tcPr>
          <w:p>
            <w:pPr>
              <w:pStyle w:val="Normal"/>
              <w:widowControl w:val="false"/>
              <w:tabs>
                <w:tab w:val="clear" w:pos="709"/>
              </w:tabs>
              <w:bidi w:val="0"/>
              <w:spacing w:lineRule="auto" w:line="240" w:before="0" w:after="0"/>
              <w:ind w:hanging="0" w:left="0" w:right="0"/>
              <w:jc w:val="center"/>
              <w:rPr>
                <w:rFonts w:ascii="Arial" w:hAnsi="Arial"/>
                <w:sz w:val="18"/>
                <w:szCs w:val="18"/>
              </w:rPr>
            </w:pPr>
            <w:r>
              <w:rPr>
                <w:rFonts w:ascii="Arial" w:hAnsi="Arial"/>
                <w:b/>
                <w:bCs/>
                <w:sz w:val="18"/>
                <w:szCs w:val="18"/>
                <w:shd w:fill="auto" w:val="clear"/>
              </w:rPr>
              <w:t>No.</w:t>
            </w:r>
          </w:p>
        </w:tc>
        <w:tc>
          <w:tcPr>
            <w:tcW w:w="2118" w:type="dxa"/>
            <w:tcBorders>
              <w:top w:val="single" w:sz="2" w:space="0" w:color="000000"/>
              <w:left w:val="single" w:sz="2" w:space="0" w:color="000000"/>
              <w:bottom w:val="single" w:sz="2" w:space="0" w:color="000000"/>
            </w:tcBorders>
          </w:tcPr>
          <w:p>
            <w:pPr>
              <w:pStyle w:val="Normal"/>
              <w:widowControl w:val="false"/>
              <w:tabs>
                <w:tab w:val="clear" w:pos="709"/>
              </w:tabs>
              <w:bidi w:val="0"/>
              <w:spacing w:lineRule="auto" w:line="240" w:before="0" w:after="0"/>
              <w:ind w:hanging="0" w:left="0" w:right="0"/>
              <w:jc w:val="center"/>
              <w:rPr>
                <w:rFonts w:ascii="Arial" w:hAnsi="Arial"/>
                <w:sz w:val="18"/>
                <w:szCs w:val="18"/>
              </w:rPr>
            </w:pPr>
            <w:r>
              <w:rPr>
                <w:rFonts w:ascii="Arial" w:hAnsi="Arial"/>
                <w:b/>
                <w:sz w:val="18"/>
                <w:szCs w:val="18"/>
                <w:shd w:fill="auto" w:val="clear"/>
              </w:rPr>
              <w:t>Procurement No, Date Announced,</w:t>
            </w:r>
          </w:p>
          <w:p>
            <w:pPr>
              <w:pStyle w:val="Normal"/>
              <w:widowControl w:val="false"/>
              <w:tabs>
                <w:tab w:val="clear" w:pos="709"/>
              </w:tabs>
              <w:bidi w:val="0"/>
              <w:spacing w:lineRule="auto" w:line="240" w:before="0" w:after="0"/>
              <w:ind w:hanging="0" w:left="0" w:right="0"/>
              <w:jc w:val="center"/>
              <w:rPr>
                <w:rFonts w:ascii="Arial" w:hAnsi="Arial"/>
                <w:sz w:val="18"/>
                <w:szCs w:val="18"/>
              </w:rPr>
            </w:pPr>
            <w:r>
              <w:rPr>
                <w:rFonts w:ascii="Arial" w:hAnsi="Arial"/>
                <w:b/>
                <w:sz w:val="18"/>
                <w:szCs w:val="18"/>
                <w:shd w:fill="auto" w:val="clear"/>
              </w:rPr>
              <w:t>Bids Deadline</w:t>
            </w:r>
          </w:p>
        </w:tc>
        <w:tc>
          <w:tcPr>
            <w:tcW w:w="1265" w:type="dxa"/>
            <w:tcBorders>
              <w:top w:val="single" w:sz="2" w:space="0" w:color="000000"/>
              <w:left w:val="single" w:sz="2" w:space="0" w:color="000000"/>
              <w:bottom w:val="single" w:sz="2" w:space="0" w:color="000000"/>
            </w:tcBorders>
          </w:tcPr>
          <w:p>
            <w:pPr>
              <w:pStyle w:val="Normal"/>
              <w:widowControl w:val="false"/>
              <w:tabs>
                <w:tab w:val="clear" w:pos="709"/>
              </w:tabs>
              <w:bidi w:val="0"/>
              <w:spacing w:lineRule="auto" w:line="240" w:before="0" w:after="0"/>
              <w:ind w:hanging="0" w:left="0" w:right="0"/>
              <w:jc w:val="center"/>
              <w:rPr>
                <w:rFonts w:ascii="Arial" w:hAnsi="Arial"/>
                <w:sz w:val="18"/>
                <w:szCs w:val="18"/>
              </w:rPr>
            </w:pPr>
            <w:r>
              <w:rPr>
                <w:rFonts w:ascii="Arial" w:hAnsi="Arial"/>
                <w:b/>
                <w:sz w:val="18"/>
                <w:szCs w:val="18"/>
                <w:shd w:fill="auto" w:val="clear"/>
              </w:rPr>
              <w:t>Government or non-government procurement</w:t>
            </w:r>
          </w:p>
        </w:tc>
        <w:tc>
          <w:tcPr>
            <w:tcW w:w="1082" w:type="dxa"/>
            <w:tcBorders>
              <w:top w:val="single" w:sz="2" w:space="0" w:color="000000"/>
              <w:left w:val="single" w:sz="2" w:space="0" w:color="000000"/>
              <w:bottom w:val="single" w:sz="2" w:space="0" w:color="000000"/>
            </w:tcBorders>
          </w:tcPr>
          <w:p>
            <w:pPr>
              <w:pStyle w:val="Normal"/>
              <w:widowControl w:val="false"/>
              <w:tabs>
                <w:tab w:val="clear" w:pos="709"/>
              </w:tabs>
              <w:bidi w:val="0"/>
              <w:spacing w:lineRule="auto" w:line="240" w:before="0" w:after="0"/>
              <w:ind w:hanging="0" w:left="0" w:right="0"/>
              <w:jc w:val="center"/>
              <w:rPr>
                <w:rFonts w:ascii="Arial" w:hAnsi="Arial"/>
                <w:sz w:val="18"/>
                <w:szCs w:val="18"/>
              </w:rPr>
            </w:pPr>
            <w:r>
              <w:rPr>
                <w:rFonts w:ascii="Arial" w:hAnsi="Arial"/>
                <w:b/>
                <w:sz w:val="18"/>
                <w:szCs w:val="18"/>
                <w:shd w:fill="auto" w:val="clear"/>
              </w:rPr>
              <w:t>Sector</w:t>
            </w:r>
          </w:p>
        </w:tc>
        <w:tc>
          <w:tcPr>
            <w:tcW w:w="1242" w:type="dxa"/>
            <w:tcBorders>
              <w:top w:val="single" w:sz="2" w:space="0" w:color="000000"/>
              <w:left w:val="single" w:sz="2" w:space="0" w:color="000000"/>
              <w:bottom w:val="single" w:sz="2" w:space="0" w:color="000000"/>
            </w:tcBorders>
          </w:tcPr>
          <w:p>
            <w:pPr>
              <w:pStyle w:val="Normal"/>
              <w:widowControl w:val="false"/>
              <w:tabs>
                <w:tab w:val="clear" w:pos="709"/>
              </w:tabs>
              <w:bidi w:val="0"/>
              <w:spacing w:lineRule="auto" w:line="240" w:before="0" w:after="0"/>
              <w:ind w:hanging="0" w:left="0" w:right="0"/>
              <w:jc w:val="center"/>
              <w:rPr>
                <w:rFonts w:ascii="Arial" w:hAnsi="Arial"/>
                <w:sz w:val="18"/>
                <w:szCs w:val="18"/>
              </w:rPr>
            </w:pPr>
            <w:r>
              <w:rPr>
                <w:rFonts w:ascii="Arial" w:hAnsi="Arial"/>
                <w:b/>
                <w:sz w:val="18"/>
                <w:szCs w:val="18"/>
                <w:shd w:fill="auto" w:val="clear"/>
              </w:rPr>
              <w:t>The initial (maximum) contract price</w:t>
            </w:r>
          </w:p>
        </w:tc>
        <w:tc>
          <w:tcPr>
            <w:tcW w:w="1908" w:type="dxa"/>
            <w:tcBorders>
              <w:top w:val="single" w:sz="2" w:space="0" w:color="000000"/>
              <w:left w:val="single" w:sz="2" w:space="0" w:color="000000"/>
              <w:bottom w:val="single" w:sz="2" w:space="0" w:color="000000"/>
            </w:tcBorders>
          </w:tcPr>
          <w:p>
            <w:pPr>
              <w:pStyle w:val="Normal"/>
              <w:widowControl w:val="false"/>
              <w:tabs>
                <w:tab w:val="clear" w:pos="709"/>
              </w:tabs>
              <w:bidi w:val="0"/>
              <w:spacing w:lineRule="auto" w:line="240" w:before="0" w:after="0"/>
              <w:ind w:hanging="0" w:left="0" w:right="0"/>
              <w:jc w:val="center"/>
              <w:rPr>
                <w:rFonts w:ascii="Arial" w:hAnsi="Arial"/>
                <w:sz w:val="18"/>
                <w:szCs w:val="18"/>
              </w:rPr>
            </w:pPr>
            <w:r>
              <w:rPr>
                <w:rFonts w:ascii="Arial" w:hAnsi="Arial"/>
                <w:b/>
                <w:sz w:val="18"/>
                <w:szCs w:val="18"/>
                <w:shd w:fill="auto" w:val="clear"/>
              </w:rPr>
              <w:t>Description of procurement</w:t>
            </w:r>
          </w:p>
        </w:tc>
        <w:tc>
          <w:tcPr>
            <w:tcW w:w="2100" w:type="dxa"/>
            <w:tcBorders>
              <w:top w:val="single" w:sz="2" w:space="0" w:color="000000"/>
              <w:left w:val="single" w:sz="2" w:space="0" w:color="000000"/>
              <w:bottom w:val="single" w:sz="2" w:space="0" w:color="000000"/>
              <w:right w:val="single" w:sz="2" w:space="0" w:color="000000"/>
            </w:tcBorders>
          </w:tcPr>
          <w:p>
            <w:pPr>
              <w:pStyle w:val="Normal"/>
              <w:widowControl w:val="false"/>
              <w:tabs>
                <w:tab w:val="clear" w:pos="709"/>
              </w:tabs>
              <w:bidi w:val="0"/>
              <w:spacing w:lineRule="auto" w:line="240" w:before="0" w:after="0"/>
              <w:ind w:hanging="0" w:left="0" w:right="0"/>
              <w:jc w:val="center"/>
              <w:rPr>
                <w:rFonts w:ascii="Arial" w:hAnsi="Arial"/>
                <w:sz w:val="18"/>
                <w:szCs w:val="18"/>
              </w:rPr>
            </w:pPr>
            <w:r>
              <w:rPr>
                <w:rFonts w:ascii="Arial" w:hAnsi="Arial"/>
                <w:b/>
                <w:sz w:val="18"/>
                <w:szCs w:val="18"/>
                <w:shd w:fill="auto" w:val="clear"/>
              </w:rPr>
              <w:t>Link</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32616179348;</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06.07.2026;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22.07.2026 12:00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15503570.26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of 220 kV Nevelskaya substation, RusHydro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zakupki.gov.ru/epz/order/extendedsearch/results.html?searchString=32616179348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0860400000326000049; Announced on: 10.07.2026;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14718569.89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Road repair R-22 Caspian, Saratov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0860400000326000049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32616197356;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10.07.2026;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 10:00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Transportation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21940060.13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Supply of extra-large buses, Saint Petersburg passenger transport</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zakupki.gov.ru/epz/order/extendedsearch/results.html?searchString=32616197356</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32616196279;</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10.07.2026;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24.07.2026 14:00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280901056.35</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commissioning of steam-gas unit, Tatenergo plant</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zakupki.gov.ru/epz/order/extendedsearch/results.html?searchString=32616196279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0173100007826000033; Announced on: 10.07.2026;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28545969.18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Software package for civil registry system, federal</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0173100007826000033</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0851200000626004637; Announced on: 10.07.2026;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21043989.63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of boiler house and heat networks, Iskitim, Novosibirsk</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0851200000626004637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0335200014926002502; Announced on: 10.07.2026;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36858857.89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of coastal protection structures, Svetlogorsk, Kaliningrad</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0335200014926002502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0137200001226005844; Announced on: 10.07.2026;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28.07.2026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25922296.17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of hospital building, Kozelsk, Kaluga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0137200001226005844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0322100024526000057; Announced on: 10.07.2026;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19066858.57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Reconstruction of Amga bridge on A-360 Lena, Yakutia</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0322100024526000057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32616192767;</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 09:00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14961189.13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FO cable network Ust-Kuiga–Tiksi, Deputatsky–Chokurdakh, Yakutia</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zakupki.gov.ru/epz/order/extendedsearch/results.html?searchString=32616192767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0321100019426000040;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52382154.82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of R-215 road northern bypass, Makhachkala, Dagestan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0321100019426000040</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0832200006626000546;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13.08.2026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15038784.29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center"/>
              <w:rPr>
                <w:rFonts w:ascii="Arial" w:hAnsi="Arial"/>
                <w:sz w:val="18"/>
                <w:szCs w:val="18"/>
              </w:rPr>
            </w:pPr>
            <w:r>
              <w:rPr>
                <w:rFonts w:ascii="Arial" w:hAnsi="Arial"/>
                <w:sz w:val="18"/>
                <w:szCs w:val="18"/>
              </w:rPr>
              <w:t>Road repairs in Bolshemurashkinsky district, Nizhny Novgorod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0832200006626000546</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0321100019426000041;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63559019.92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of R-215 road, stage 3, Dagestan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zakupki.gov.ru/epz/order/extendedsearch/results.html?searchString=03211000194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0137200001226005815;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28.07.2026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32224371.79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of hospital building No. 2, Lyudinovo, Kaluga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0321100019426000041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0148200005426000314;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25825150.00</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Completion of Kashirskoye highway reconstruction, Moscow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0148200005426000314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0157200000326000772;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15137723.07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Capital repair of bridges, Gdovsky district, Pskov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 0157200000326000772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0201100003826000445;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31.07.2026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medicines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19553274.88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adult diapers, Bashkortostan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zakupki.gov.ru/epz/order/extendedsearch/results.html?searchString=02011000038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0865200000326000882;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28.07.2026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Transportation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15582322.06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Road maintenance in Tomsk region districts</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zakupki.gov.ru/epz/order/extendedsearch/results.html?searchString=0865200000326000882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32616174484;</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03.07.2026;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 16:00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79545454.55</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Revolving credit line for Rosseti Sibir</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zakupki.gov.ru/epz/order/extendedsearch/results.html?searchString=32616174484</w:t>
              <w:br/>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0122200002526002499;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16411862.34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of centralized wastewater system, Troitskoye, Khabarovsk Krai</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zakupki.gov.ru/epz/order/extendedsearch/results.html?searchString=0122200002526002499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0201100003826000437; Announced on: 09.07.2026;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24.07.2026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medicines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17197705.48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adult diapers, Bashkortostan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zakupki.gov.ru/epz/order/extendedsearch/results.html?searchString=0201100003826000437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32616179187;</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06.07.2026;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24.07.2026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fuel</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17278579.49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brown coal 1BPK, Primteploenergo, Primorye</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zakupki.gov.ru/epz/order/extendedsearch/results.html?searchString=32616179187</w:t>
              <w:br/>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0108500000426003927; Announced on: 08.07.2026;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24.07.2026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51985119.18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of sewage treatment plant, Yoshkar-Ola, Mari El</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zakupki.gov.ru/epz/order/extendedsearch/results.html?searchString=0108500000426003927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32616188496;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08.07.2026;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24.07.2026 14:00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35058441.56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of steam boiler plant, Aleksinskaya TPP, RIR Energo</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zakupki.gov.ru/epz/order/extendedsearch/results.html?searchString=32616188496</w:t>
              <w:br/>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0843500000226003988; Announced on: 08.07.2026;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24.07.2026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38820774.91</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Traffic violation data transmission services, Kurgan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zakupki.gov.ru/epz/order/extendedsearch/results.html?searchString=0843500000226003988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32616187685;</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08.07.2026;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24.07.2026 12:00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17333617.66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Substation upgrade, Gatchina, Rosseti</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zakupki.gov.ru/epz/order/extendedsearch/results.html?searchString=32616187685</w:t>
              <w:br/>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32616185417;</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08.07.2026;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28.07.2026 12:00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24886363.64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Revolving credit line for Yuzhnye Elektricheskie Seti Kamchatki</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zakupki.gov.ru/epz/order/extendedsearch/results.html?searchString=32616185417</w:t>
              <w:br/>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32616186725;</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Announced on: 08.07.2026;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24.07.2026 10:00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fuel</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44013394.29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Anthracite or hard coal for Starobeshevskaya TPP and Zuyevskaya TPP</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zakupki.gov.ru/epz/order/extendedsearch/results.html?searchString=32616186725</w:t>
              <w:br/>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0348100042426000047; Announced on: 07.07.2026;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23.07.2026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17168985.47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Capital repair of M-9 Baltia road, Tver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zakupki.gov.ru/epz/order/extendedsearch/results.html?searchString=0348100042426000047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1200700007426000006; Announced on: 07.07.2026;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23.07.2026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19619524.54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of heating network, Saint Petersburg</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zakupki.gov.ru/epz/order/extendedsearch/results.html?searchString=1200700007426000006</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0195400000326000013; Announced on: 07.07.2026;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23.07.2026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15822857.14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Scientific research on molecular targets, Russia</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zakupki.gov.ru/epz/order/extendedsearch/results.html?searchString=0195400000326000013</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0334100007526000060; Announced on: 07.07.2026;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06.08.2026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17151850.52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of R-255 road transport interchange, Irkutsk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zakupki.gov.ru/epz/order/extendedsearch/results.html?searchString=0334100007526000060</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0334100007526000059; Announced on: 07.07.2026;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03.08.2026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38569550.78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of R-255 road, Irkutsk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zakupki.gov.ru/epz/order/extendedsearch/results.html?searchString=0334100007526000059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0334100007526000058; Announced on: 06.07.2026;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23974025.97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Road repair on A-340, Buryatia</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zakupki.gov.ru/epz/order/extendedsearch/results.html?searchString=0334100007526000058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0318100051226000051; Announced on: 01.07.2026;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23.09.2026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14438366.35</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Slope protection structures repair, Sochi road, Krasnodar Krai</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zakupki.gov.ru/epz/order/extendedsearch/results.html?searchString=0318100051226000051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32616213780; Announced on: 17.07.2026;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03.08.2026 18:00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32756410.26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Loan provision services for Magadanenergo, Magadan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zakupki.gov.ru/epz/order/extendedsearch/results.html?searchString=32616213780</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0307200030626001435; Announced on: 17.07.2026;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05.08.2026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14490205.13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Road and bridge maintenance in Pechora and Usinsk, Komi.</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zakupki.gov.ru/epz/order/extendedsearch/results.html?searchString=0307200030626001435</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32616200187; Announced on: 13.07.2026;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29.07.2026 09:00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19839209.34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Fiber-optic network construction Khandyga–Chersky, Sakha (Yakutia).</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zakupki.gov.ru/epz/order/extendedsearch/results.html?searchString=32616200187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32616213605; Announced on: 16.07.2026;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31.07.2026 10:00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16873846.15</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Overdraft lending agreement for PAO "EGP", Russia.</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zakupki.gov.ru/epz/order/extendedsearch/results.html?searchString=32616213605</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32616210533; Announced on: 16.07.2026;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03.08.2026 18:00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fuel</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37505330.21</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Coal supply for Sakhalinenergo, Sakhalin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zakupki.gov.ru/epz/order/extendedsearch/results.html?searchString=32616210533</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32616209986; Announced on: 16.07.2026;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31.07.2026 09:00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fuel</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15179920.84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brown coal grade 3BR for Ust-Kut heating company.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zakupki.gov.ru/epz/order/extendedsearch/results.html?searchString=32616209986</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0172200002526000441;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Transportation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336212730.32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Regular passenger transport services, Saint Petersburg.</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zakupki.gov.ru/epz/order/extendedsearch/results.html?searchString=0172200002526000441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0172200002526000440;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Transportation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567504481.34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Regular urban electric transport services, Saint Petersburg.</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zakupki.gov.ru/epz/order/extendedsearch/results.html?searchString=0172200002526000440</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0173200001426001285; Announced on: 15.07.2026;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31.07.2026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Transportation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20691769.14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and maintenance of 115 small city buses, Moscow.</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zakupki.gov.ru/epz/order/extendedsearch/results.html?searchString=0173200001426001285</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32616207839; Announced on: 15.07.2026;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31.07.2026 08:00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25658851.57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of Ecotechnopark including waste sorting, Perm.</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zakupki.gov.ru/epz/order/extendedsearch/results.html?searchString=32616207839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32616205602; Announced on: 15.07.2026;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03.08.2026 17:00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18494997.24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works and equipment supply at Khabarovsk TPP-3.</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zakupki.gov.ru/epz/order/extendedsearch/results.html?searchString=32616205602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32616205246;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 13:00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fuel</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18001282.05</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Kuznetsky coal "DR" supply for Tomskaya Generation, Tomsk.</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zakupki.gov.ru/epz/order/extendedsearch/results.html?searchString=32616205246</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0172200002526000439;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16365111.63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Restoration and facade works at historic Duma building, Saint Petersburg.</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zakupki.gov.ru/epz/order/extendedsearch/results.html?searchString=0172200002526000439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0311100007226000078;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14696706.00</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Capital repair of M-7 Volga road section, Udmurt Republic.</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zakupki.gov.ru/epz/order/extendedsearch/results.html?searchString=0311100007226000078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0860400000326000051;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83782956.64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Major repair R-228 road, widening to four lanes, Saratov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zakupki.gov.ru/epz/order/extendedsearch/results.html?searchString=0860400000326000051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0307200030626001419;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17606897.44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Road and bridge maintenance in Syktyvkar and districts, Komi.</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zakupki.gov.ru/epz/order/extendedsearch/results.html?searchString=0307200030626001419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0307200030626001420;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16811961.54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Road maintenance in Ust-Kulom, Kortkeros, Komi regions.</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zakupki.gov.ru/epz/order/extendedsearch/results.html?searchString=0307200030626001420</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0832200006626000566;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14732370.01</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Repair of regional roads in Ardatov and Arzamas, Nizhny Novgorod.</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zakupki.gov.ru/epz/order/extendedsearch/results.html?searchString=0832200006626000566</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0155500000626000348;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30.07.2026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23702019.04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Design and construction of road linking M-5 interchange to Novoselov, Penza.</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zakupki.gov.ru/epz/order/extendedsearch/results.html?searchString=0155500000626000348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0832200006626000564;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11.08.2026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14836457.24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Repair of regional roads in Perevozsky municipal district, Nizhny Novgorod.</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zakupki.gov.ru/epz/order/extendedsearch/results.html?searchString=0832200006626000564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0820500000826003772;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31.07.2026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14547698.32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Non-revolving loan facility for Primorsky Krai budget deficit.</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zakupki.gov.ru/epz/order/extendedsearch/results.html?searchString=0820500000826003772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0820500000826003767; Announced on: 14.07.2026;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31.07.2026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24326041.54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Credit line to finance Primorsky Krai budget deficit, Primorye.</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zakupki.gov.ru/epz/order/extendedsearch/results.html?searchString=0820500000826003767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0337100017726000108; Announced on: 13.07.2026;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29.07.2026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24395520.51</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IT equipment, software rights transfer, FGIS registry modernization.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zakupki.gov.ru/epz/order/extendedsearch/results.html?searchString=0337100017726000108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0373100008326000002, Announced on: 24.07.2026,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10.08.2026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36184936.43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Restoration of university building, Saint Petersburg, HSE</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zakupki.gov.ru/epz/order/extendedsearch/results.html?searchString=0373100008326000002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32616234928, Announced on: 24.07.2026,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11.08.2026 08:40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30186182.65</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Completion of residential building, Moscow, Moscow Renovation Fund</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zakupki.gov.ru/epz/order/extendedsearch/results.html?searchString=32616234928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32616234831, Announced on: 24.07.2026,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11.08.2026 08:30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165947424.00</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Completion of residential complex with parking, Moscow, Renovation Fund</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zakupki.gov.ru/epz/order/extendedsearch/results.html?searchString=32616234831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32616234581, Announced on: 24.07.2026,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10.08.2026 13:30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14371445.63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Sewer connection works for Kuzminki-Lyublino museum, Moscow, Mosvodokanal</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zakupki.gov.ru/epz/order/extendedsearch/results.html?searchString=32616234581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32616234024, Announced on: 24.07.2026,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11.08.2026 08:20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54657592.24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Completion of residential building, Shcherbinka (Moscow), Renovation Fund</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zakupki.gov.ru/epz/order/extendedsearch/results.html?searchString=32616234024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0819300039026000321, Announced on: 24.07.2026,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10.08.2026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16944906.99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of two apartment buildings, Achinsk municipality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zakupki.gov.ru/epz/order/extendedsearch/results.html?searchString=0819300039026000321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0322100024526000075, Announced on: 24.07.2026,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03.08.2026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17529063.73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Road major repairs R-504 Kolyma Yakutsk-Magadan, Magadan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zakupki.gov.ru/epz/order/extendedsearch/results.html?searchString=0322100024526000075</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32616232620, Announced on: 23.07.2026,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11.08.2026 08:10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22036447.09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Residential building adapted as civil defense shelter, Moscow</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zakupki.gov.ru/epz/order/extendedsearch/results.html?searchString=32616232620</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32616224574, Announced on: 21.07.2026,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 11:00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29596385.38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Erection and commissioning of 110 kV power line section, Novgorod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zakupki.gov.ru/epz/order/extendedsearch/results.html?searchString=32616224574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32616224571, Announced on: 21.07.2026,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27.07.2026 11:00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26226552.93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commissioning of 110 kV line section, Novgorod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zakupki.gov.ru/epz/order/extendedsearch/results.html?searchString=32616224571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32616231665, Announced on: 23.07.2026,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04.08.2026 15:00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Transportation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26046223.84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Freight and special vehicle transport services, Ural-Siberian TEP company (Chelyabinsk)</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zakupki.gov.ru/epz/order/extendedsearch/results.html?searchString=32616231665</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0145200000426001147, Announced on: 23.07.2026,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12.08.2026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16624788.21</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of water treatment facility, Staraya Ladoga, Leningrad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zakupki.gov.ru/epz/order/extendedsearch/results.html?searchString=0145200000426001147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32616232024, Announced on: 23.07.2026,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11.08.2026 08:00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59208670.82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Urban development for renovation program, North-East Moscow</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zakupki.gov.ru/epz/order/extendedsearch/results.html?searchString=32616232024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0891200000626008053, Announced on: 23.07.2026,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10.08.2026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18024749.80</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Heat supply infrastructure for modern university campus, Zabaykalsky Krai</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zakupki.gov.ru/epz/order/extendedsearch/results.html?searchString=0891200000626008053</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32616228451, Announced on: 22.07.2026,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12.08.2026 08:00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96233009.91</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Technical customer and construction for multifunctional complex, Kon'kovo district, Moscow</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zakupki.gov.ru/epz/order/extendedsearch/results.html?searchString=32616228451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32616228224, Announced on: 22.07.2026,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07.08.2026 08:10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32588473.59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Completion of residential building with demolition, Ostaninsky district, Moscow</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zakupki.gov.ru/epz/order/extendedsearch/results.html?searchString=32616228224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0173200001426001336, Announced on: 22.07.2026,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27076170.26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Remote access to parking control software and databases, Moscow</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zakupki.gov.ru/epz/order/extendedsearch/results.html?searchString=0173200001426001336</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0173200001426001335, Announced on: 22.07.2026,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27076170.26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Remote access to parking control system, Moscow (queue 11)</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zakupki.gov.ru/epz/order/extendedsearch/results.html?searchString=0173200001426001335</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0173200001426001334, Announced on: 22.07.2026,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27076170.26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Remote access to parking control system, Moscow (queue 10)</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zakupki.gov.ru/epz/order/extendedsearch/results.html?searchString=0173200001426001334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32616225658, Announced on: 22.07.2026,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29.07.2026 13:00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19600632.53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of 110 kV substation Ovoschevod transformers, Rossseti Volga (Orenburg)</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zakupki.gov.ru/epz/order/extendedsearch/results.html?searchString=32616225658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32616225682, Announced on: 22.07.2026,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07.08.2026 08:00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591584418.13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Urban development for renovation program, Kotlovka district, Moscow</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color w:val="000000"/>
                <w:sz w:val="18"/>
                <w:szCs w:val="18"/>
                <w:u w:val="none"/>
              </w:rPr>
              <w:t>zakupki.gov.ru/epz/order/extendedsearch/results.html?searchString=32616225682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0149200002326004039, Announced on: 21.07.2026,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06.08.2026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15539833.97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Capital repair of swimming pool building, Murmansk city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pPr>
            <w:r>
              <w:rPr>
                <w:rStyle w:val="Hyperlink"/>
                <w:rFonts w:ascii="Arial" w:hAnsi="Arial"/>
                <w:color w:val="000000"/>
                <w:sz w:val="18"/>
                <w:szCs w:val="18"/>
                <w:u w:val="none"/>
              </w:rPr>
              <w:t>zakupki.gov.ru/epz/order/extendedsearch/results.html?searchString=0149200002326004039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0173200001426001324, Announced on: 21.07.2026,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06.08.2026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54261124.66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Design and overhaul of medical building, Hospital 52, Moscow</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pPr>
            <w:r>
              <w:rPr>
                <w:rStyle w:val="Hyperlink"/>
                <w:rFonts w:ascii="Arial" w:hAnsi="Arial"/>
                <w:color w:val="000000"/>
                <w:sz w:val="18"/>
                <w:szCs w:val="18"/>
                <w:u w:val="none"/>
              </w:rPr>
              <w:t>zakupki.gov.ru/epz/order/extendedsearch/results.html?searchString=0173200001426001324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32616223263, Announced on: 21.07.2026,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06.08.2026 13:00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144598591.67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commissioning of 220 kV lines and substation, Primorye</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pPr>
            <w:r>
              <w:rPr>
                <w:rStyle w:val="Hyperlink"/>
                <w:rFonts w:ascii="Arial" w:hAnsi="Arial"/>
                <w:color w:val="000000"/>
                <w:sz w:val="18"/>
                <w:szCs w:val="18"/>
                <w:u w:val="none"/>
              </w:rPr>
              <w:t>zakupki.gov.ru/epz/order/extendedsearch/results.html?searchString=32616223263</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0873400003926000618, Announced on: 21.07.2026,</w:t>
            </w:r>
          </w:p>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Bids accepted till: 07.08.2026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medicines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47948717.95</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gene therapy drug Onasemnogene, federal procurement</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pPr>
            <w:r>
              <w:rPr>
                <w:rStyle w:val="Hyperlink"/>
                <w:rFonts w:ascii="Arial" w:hAnsi="Arial"/>
                <w:color w:val="000000"/>
                <w:sz w:val="18"/>
                <w:szCs w:val="18"/>
                <w:u w:val="none"/>
              </w:rPr>
              <w:t>zakupki.gov.ru/epz/order/extendedsearch/results.html?searchString=0873400003926000618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0190200000326008601</w:t>
              <w:br/>
              <w:t>Announced on: 28.07.2026</w:t>
              <w:br/>
              <w:t>Bids accepted till: 13.08.2026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17875765.41</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Capital repair of Surgut–Salekhard road, Yamalo-Nenets Autonomous Okrug, by regional road authority.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zakupki.gov.ru/epz/order/extendedsearch/results.html?searchString=0190200000326008601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32616253527</w:t>
              <w:br/>
              <w:t>Announced on: 31.07.2026</w:t>
              <w:br/>
              <w:t>Bids accepted till: 18.08.2026 17:00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29615384.62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Credit services for PJSC Sakhalinenergo needs, financial organization services, Sakhalin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zakupki.gov.ru/epz/order/extendedsearch/results.html?searchString=32616253527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32616253509</w:t>
              <w:br/>
              <w:t>Announced on: 31.07.2026</w:t>
              <w:br/>
              <w:t>Bids accepted till: 18.08.2026 17:00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29615384.62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Credit services for PJSC Sakhalinenergo needs, financial organization services, Sakhalin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zakupki.gov.ru/epz/order/extendedsearch/results.html?searchString=32616253509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32616253507</w:t>
              <w:br/>
              <w:t>Announced on: 31.07.2026</w:t>
              <w:br/>
              <w:t>Bids accepted till: 18.08.2026 17:00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Financial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29615384.62</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Credit services for PJSC Sakhalinenergo needs, financial organization services, Sakhalin region.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zakupki.gov.ru/epz/order/extendedsearch/results.html?searchString=32616253507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0873400003926000643</w:t>
              <w:br/>
              <w:t>Announced on: 31.07.2026</w:t>
              <w:br/>
              <w:t>Bids accepted till: 17.08.2026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medicines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23482382.29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daratumumab medicine for federal healthcare program, nationwide, by federal medicines center.</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zakupki.gov.ru/epz/order/extendedsearch/results.html?searchString=0873400003926000643</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32616253917</w:t>
              <w:br/>
              <w:t>Announced on: 31.07.2026</w:t>
              <w:br/>
              <w:t>Bids accepted till: 12.08.2026 14:00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14812260.88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of sewage treatment facilities in Aromashevo, Tyumen region, by Tyumen Vodokanal company.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zakupki.gov.ru/epz/order/extendedsearch/results.html?searchString=32616253917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0322100024526000092</w:t>
              <w:br/>
              <w:t>Announced on: 31.07.2026</w:t>
              <w:br/>
              <w:t>Bids accepted till: 18.08.2026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15128205.13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Wearing course installation on A-376 highway, Khabarovsk Krai, by federal road construction directorate.</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zakupki.gov.ru/epz/order/extendedsearch/results.html?searchString=0322100024526000092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0321100019426000112</w:t>
              <w:br/>
              <w:t>Announced on: 30.07.2026</w:t>
              <w:br/>
              <w:t>Bids accepted till: 19.08.2026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19255766.17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reconstruction of R-215 highway, Makhachkala northern bypass, Dagestan, by federal road authority.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zakupki.gov.ru/epz/order/extendedsearch/results.html?searchString=0321100019426000112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0321100019426000111</w:t>
              <w:br/>
              <w:t>Announced on: 30.07.2026</w:t>
              <w:br/>
              <w:t>Bids accepted till: 19.08.2026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48077068.76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reconstruction of R-215 highway, Makhachkala northern bypass, Dagestan, by federal road authority.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zakupki.gov.ru/epz/order/extendedsearch/results.html?searchString=0321100019426000111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0321100019426000110</w:t>
              <w:br/>
              <w:t>Announced on: 30.07.2026</w:t>
              <w:br/>
              <w:t>Bids accepted till: 19.08.2026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49846940.76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reconstruction of R-215 highway, Makhachkala northern bypass, Dagestan, by federal road authority.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zakupki.gov.ru/epz/order/extendedsearch/results.html?searchString=0321100019426000110</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32616253064</w:t>
              <w:br/>
              <w:t>Announced on: 30.07.2026</w:t>
              <w:br/>
              <w:t>Bids accepted till: 17.08.2026 12:00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29005302.44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of 220 kV substation with equipment installation, nationwide, by Rosseti company.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zakupki.gov.ru/epz/order/extendedsearch/results.html?searchString=32616253064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0172200002526000464</w:t>
              <w:br/>
              <w:t>Announced on: 30.07.2026</w:t>
              <w:br/>
              <w:t>Bids accepted till: 19.08.2026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23083225.47</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and construction of Znamya sports center, St. Petersburg, by city capital construction fund.</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zakupki.gov.ru/epz/order/extendedsearch/results.html?searchString=0172200002526000464</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0311500000926000072</w:t>
              <w:br/>
              <w:t>Announced on: 30.07.2026</w:t>
              <w:br/>
              <w:t>Bids accepted till: 17.08.2026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41025641.03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installation works including equipment installation, Tatarstan, by Glavstroy state institution.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zakupki.gov.ru/epz/order/extendedsearch/results.html?searchString=0311500000926000072</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0311500000926000073</w:t>
              <w:br/>
              <w:t>Announced on: 30.07.2026</w:t>
              <w:br/>
              <w:t>Bids accepted till: 07.08.2026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17163427.69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installation works for major repair, Tatarstan, by Glavstroy state institution.</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zakupki.gov.ru/epz/order/extendedsearch/results.html?searchString=0311500000926000073</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32616251175</w:t>
              <w:br/>
              <w:t>Announced on: 30.07.2026</w:t>
              <w:br/>
              <w:t>Bids accepted till: 11.08.2026 16:00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20143912.06</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Rental and maintenance of electric submersible equipment for 2027–2029, by Rusvietpetro company.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zakupki.gov.ru/epz/order/extendedsearch/results.html?searchString=32616251175</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0321100019426000109</w:t>
              <w:br/>
              <w:t>Announced on: 30.07.2026</w:t>
              <w:br/>
              <w:t>Bids accepted till: 17.08.2026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50455449.33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reconstruction of R-215 highway, Makhachkala northern bypass, Dagestan, by federal road authority.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zakupki.gov.ru/epz/order/extendedsearch/results.html?searchString=0321100019426000109</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0321100019426000108</w:t>
              <w:br/>
              <w:t>Announced on: 30.07.2026</w:t>
              <w:br/>
              <w:t>Bids accepted till: 17.08.2026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53205537.03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reconstruction of R-215 highway, Makhachkala northern bypass, Dagestan, by federal road authority.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zakupki.gov.ru/epz/order/extendedsearch/results.html?searchString=0321100019426000108</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32616249656</w:t>
              <w:br/>
              <w:t>Announced on: 30.07.2026</w:t>
              <w:br/>
              <w:t>Bids accepted till: 17.08.2026 14:00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43733143.14</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commissioning works for Southern aeration station modernization, Yekaterinburg, municipal utility.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zakupki.gov.ru/epz/order/extendedsearch/results.html?searchString=32616249656</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0321100019426000107</w:t>
              <w:br/>
              <w:t>Announced on: 30.07.2026</w:t>
              <w:br/>
              <w:t>Bids accepted till: 17.08.2026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53706889.63</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reconstruction of R-215 highway, Makhachkala northern bypass, Dagestan, by federal road authority.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zakupki.gov.ru/epz/order/extendedsearch/results.html?searchString=0321100019426000107</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32616249155</w:t>
              <w:br/>
              <w:t>Announced on: 29.07.2026</w:t>
              <w:br/>
              <w:t>Bids accepted till: 14.08.2026 12:00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Non-GP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15464913.99</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Reconstruction of heating networks from boiler house in Metallostroy, St. Petersburg, by TEC company.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zakupki.gov.ru/epz/order/extendedsearch/results.html?searchString=32616249155</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32616248621</w:t>
              <w:br/>
              <w:t>Announced on: 29.07.2026</w:t>
              <w:br/>
              <w:t>Bids accepted till: 14.08.2026 10:00</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Other</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Transportation services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23718190.48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Supply of extra-large class buses, St. Petersburg, by state passenger transport enterprise.</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zakupki.gov.ru/epz/order/extendedsearch/results.html?searchString=32616248621</w:t>
            </w:r>
          </w:p>
        </w:tc>
      </w:tr>
      <w:tr>
        <w:trPr/>
        <w:tc>
          <w:tcPr>
            <w:tcW w:w="453" w:type="dxa"/>
            <w:tcBorders>
              <w:left w:val="single" w:sz="2" w:space="0" w:color="000000"/>
              <w:bottom w:val="single" w:sz="2" w:space="0" w:color="000000"/>
            </w:tcBorders>
          </w:tcPr>
          <w:p>
            <w:pPr>
              <w:pStyle w:val="Normal"/>
              <w:numPr>
                <w:ilvl w:val="0"/>
                <w:numId w:val="6"/>
              </w:numPr>
              <w:tabs>
                <w:tab w:val="clear" w:pos="709"/>
              </w:tabs>
              <w:bidi w:val="0"/>
              <w:spacing w:lineRule="auto" w:line="240" w:before="0" w:after="0"/>
              <w:ind w:hanging="0" w:left="0"/>
              <w:jc w:val="center"/>
              <w:rPr>
                <w:rFonts w:ascii="Arial" w:hAnsi="Arial"/>
                <w:sz w:val="18"/>
                <w:szCs w:val="18"/>
              </w:rPr>
            </w:pPr>
            <w:r>
              <w:rPr>
                <w:rFonts w:ascii="Arial" w:hAnsi="Arial"/>
                <w:sz w:val="18"/>
                <w:szCs w:val="18"/>
              </w:rPr>
            </w:r>
          </w:p>
        </w:tc>
        <w:tc>
          <w:tcPr>
            <w:tcW w:w="211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Procurement No: 0130200002426000102</w:t>
              <w:br/>
              <w:t>Announced on: 29.07.2026</w:t>
              <w:br/>
              <w:t>Bids accepted till: 14.08.2026</w:t>
            </w:r>
          </w:p>
        </w:tc>
        <w:tc>
          <w:tcPr>
            <w:tcW w:w="1265"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GP</w:t>
            </w:r>
          </w:p>
        </w:tc>
        <w:tc>
          <w:tcPr>
            <w:tcW w:w="108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Construction and repairs</w:t>
            </w:r>
          </w:p>
        </w:tc>
        <w:tc>
          <w:tcPr>
            <w:tcW w:w="1242"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51538833.68</w:t>
            </w:r>
          </w:p>
        </w:tc>
        <w:tc>
          <w:tcPr>
            <w:tcW w:w="1908" w:type="dxa"/>
            <w:tcBorders>
              <w:left w:val="single" w:sz="2" w:space="0" w:color="000000"/>
              <w:bottom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Vologda airport reconstruction with runway extension, stage 1, by regional road authority.</w:t>
            </w:r>
          </w:p>
        </w:tc>
        <w:tc>
          <w:tcPr>
            <w:tcW w:w="2100" w:type="dxa"/>
            <w:tcBorders>
              <w:left w:val="single" w:sz="2" w:space="0" w:color="000000"/>
              <w:bottom w:val="single" w:sz="2" w:space="0" w:color="000000"/>
              <w:right w:val="single" w:sz="2" w:space="0" w:color="000000"/>
            </w:tcBorders>
          </w:tcPr>
          <w:p>
            <w:pPr>
              <w:pStyle w:val="Normal"/>
              <w:tabs>
                <w:tab w:val="clear" w:pos="709"/>
              </w:tabs>
              <w:bidi w:val="0"/>
              <w:spacing w:lineRule="auto" w:line="240" w:before="0" w:after="0"/>
              <w:ind w:hanging="0" w:left="0"/>
              <w:jc w:val="left"/>
              <w:rPr>
                <w:rFonts w:ascii="Arial" w:hAnsi="Arial"/>
                <w:sz w:val="18"/>
                <w:szCs w:val="18"/>
              </w:rPr>
            </w:pPr>
            <w:r>
              <w:rPr>
                <w:rFonts w:ascii="Arial" w:hAnsi="Arial"/>
                <w:sz w:val="18"/>
                <w:szCs w:val="18"/>
              </w:rPr>
              <w:t>zakupki.gov.ru/epz/order/extendedsearch/results.html?searchString=0130200002426000102</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pPr>
            <w:r>
              <w:rPr>
                <w:rFonts w:eastAsia="Calibri" w:cs="Arial" w:ascii="Arial" w:hAnsi="Arial"/>
                <w:color w:val="000000"/>
                <w:kern w:val="0"/>
                <w:sz w:val="18"/>
                <w:szCs w:val="18"/>
                <w:shd w:fill="auto" w:val="clear"/>
                <w:lang w:val="en-US" w:eastAsia="en-US" w:bidi="ar-SA"/>
              </w:rPr>
              <w:t xml:space="preserve">Russian web-portal of tenders </w:t>
            </w:r>
            <w:hyperlink r:id="rId7">
              <w:r>
                <w:rPr>
                  <w:rStyle w:val="Hyperlink"/>
                  <w:rFonts w:eastAsia="Calibri" w:cs="Arial" w:ascii="Arial" w:hAnsi="Arial"/>
                  <w:color w:val="000000"/>
                  <w:kern w:val="0"/>
                  <w:sz w:val="18"/>
                  <w:szCs w:val="18"/>
                  <w:shd w:fill="auto" w:val="clear"/>
                  <w:lang w:val="en-US" w:eastAsia="en-US" w:bidi="ar-SA"/>
                </w:rPr>
                <w:t>zakupki.gov.ru</w:t>
              </w:r>
            </w:hyperlink>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p>
      <w:pPr>
        <w:pStyle w:val="Normal"/>
        <w:bidi w:val="0"/>
        <w:spacing w:lineRule="auto" w:line="240" w:before="0" w:after="0"/>
        <w:ind w:hanging="0" w:left="0" w:right="0"/>
        <w:jc w:val="left"/>
        <w:rPr>
          <w:rFonts w:ascii="Arial" w:hAnsi="Arial"/>
          <w:sz w:val="18"/>
          <w:szCs w:val="18"/>
        </w:rPr>
      </w:pPr>
      <w:r>
        <w:rPr>
          <w:rFonts w:cs="Arial" w:ascii="Arial" w:hAnsi="Arial"/>
          <w:b/>
          <w:color w:val="000000"/>
          <w:sz w:val="18"/>
          <w:szCs w:val="18"/>
          <w:shd w:fill="auto" w:val="clear"/>
          <w:lang w:val="en-IN"/>
        </w:rPr>
        <w:t xml:space="preserve">e. </w:t>
        <w:tab/>
      </w:r>
      <w:r>
        <w:rPr>
          <w:rFonts w:cs="Arial" w:ascii="Arial" w:hAnsi="Arial"/>
          <w:b/>
          <w:bCs/>
          <w:color w:val="000000"/>
          <w:sz w:val="18"/>
          <w:szCs w:val="18"/>
          <w:shd w:fill="auto" w:val="clear"/>
          <w:lang w:val="en-IN"/>
        </w:rPr>
        <w:t>Any press coverage/notification on new / Technology/ IPR Regulations:</w:t>
      </w:r>
    </w:p>
    <w:p>
      <w:pPr>
        <w:pStyle w:val="Normal"/>
        <w:bidi w:val="0"/>
        <w:spacing w:lineRule="auto" w:line="240" w:before="0" w:after="0"/>
        <w:ind w:hanging="0" w:left="0" w:right="0"/>
        <w:jc w:val="left"/>
        <w:rPr>
          <w:rFonts w:ascii="Arial" w:hAnsi="Arial" w:cs="Arial"/>
          <w:b/>
          <w:color w:val="000000"/>
          <w:sz w:val="18"/>
          <w:szCs w:val="18"/>
          <w:highlight w:val="none"/>
          <w:shd w:fill="auto" w:val="clear"/>
          <w:lang w:val="en-IN"/>
        </w:rPr>
      </w:pPr>
      <w:r>
        <w:rPr>
          <w:rFonts w:cs="Arial" w:ascii="Arial" w:hAnsi="Arial"/>
          <w:b/>
          <w:color w:val="000000"/>
          <w:sz w:val="18"/>
          <w:szCs w:val="18"/>
          <w:shd w:fill="auto" w:val="clear"/>
          <w:lang w:val="en-IN"/>
        </w:rPr>
      </w:r>
    </w:p>
    <w:tbl>
      <w:tblPr>
        <w:tblW w:w="10200" w:type="dxa"/>
        <w:jc w:val="left"/>
        <w:tblInd w:w="55" w:type="dxa"/>
        <w:tblLayout w:type="fixed"/>
        <w:tblCellMar>
          <w:top w:w="55" w:type="dxa"/>
          <w:left w:w="55" w:type="dxa"/>
          <w:bottom w:w="55" w:type="dxa"/>
          <w:right w:w="55" w:type="dxa"/>
        </w:tblCellMar>
      </w:tblPr>
      <w:tblGrid>
        <w:gridCol w:w="488"/>
        <w:gridCol w:w="1170"/>
        <w:gridCol w:w="3060"/>
        <w:gridCol w:w="3615"/>
        <w:gridCol w:w="1867"/>
      </w:tblGrid>
      <w:tr>
        <w:trPr>
          <w:tblHeader w:val="true"/>
        </w:trPr>
        <w:tc>
          <w:tcPr>
            <w:tcW w:w="488"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S. No.</w:t>
            </w:r>
          </w:p>
        </w:tc>
        <w:tc>
          <w:tcPr>
            <w:tcW w:w="1170"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Sector</w:t>
            </w:r>
          </w:p>
        </w:tc>
        <w:tc>
          <w:tcPr>
            <w:tcW w:w="3060"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Details</w:t>
            </w:r>
          </w:p>
        </w:tc>
        <w:tc>
          <w:tcPr>
            <w:tcW w:w="3615" w:type="dxa"/>
            <w:tcBorders>
              <w:top w:val="single" w:sz="4" w:space="0" w:color="000000"/>
              <w:left w:val="single" w:sz="4" w:space="0" w:color="000000"/>
              <w:bottom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Remarks</w:t>
            </w:r>
          </w:p>
        </w:tc>
        <w:tc>
          <w:tcPr>
            <w:tcW w:w="18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lang w:val="en-IN"/>
              </w:rPr>
              <w:t>Upload Documents</w:t>
            </w:r>
          </w:p>
        </w:tc>
      </w:tr>
      <w:tr>
        <w:trPr/>
        <w:tc>
          <w:tcPr>
            <w:tcW w:w="488" w:type="dxa"/>
            <w:tcBorders>
              <w:left w:val="single" w:sz="4" w:space="0" w:color="000000"/>
              <w:bottom w:val="single" w:sz="4" w:space="0" w:color="000000"/>
            </w:tcBorders>
          </w:tcPr>
          <w:p>
            <w:pPr>
              <w:pStyle w:val="TableContents"/>
              <w:widowControl w:val="false"/>
              <w:numPr>
                <w:ilvl w:val="0"/>
                <w:numId w:val="7"/>
              </w:numPr>
              <w:suppressAutoHyphens w:val="true"/>
              <w:overflowPunct w:val="false"/>
              <w:bidi w:val="0"/>
              <w:spacing w:lineRule="auto" w:line="240" w:before="0" w:after="0"/>
              <w:ind w:hanging="0" w:left="0"/>
              <w:jc w:val="left"/>
              <w:rPr>
                <w:rFonts w:ascii="Arial" w:hAnsi="Arial" w:eastAsia="Calibri" w:cs="Times New Roman"/>
                <w:color w:val="auto"/>
                <w:kern w:val="0"/>
                <w:sz w:val="18"/>
                <w:szCs w:val="18"/>
                <w:highlight w:val="none"/>
                <w:shd w:fill="auto" w:val="clear"/>
                <w:lang w:val="en-US" w:eastAsia="en-US" w:bidi="ar-SA"/>
              </w:rPr>
            </w:pPr>
            <w:r>
              <w:rPr>
                <w:rFonts w:eastAsia="Calibri" w:cs="Times New Roman" w:ascii="Arial" w:hAnsi="Arial"/>
                <w:color w:val="000000"/>
                <w:kern w:val="0"/>
                <w:sz w:val="18"/>
                <w:szCs w:val="18"/>
                <w:shd w:fill="auto" w:val="clear"/>
                <w:lang w:val="en-US" w:eastAsia="en-US" w:bidi="ar-SA"/>
              </w:rPr>
            </w:r>
          </w:p>
        </w:tc>
        <w:tc>
          <w:tcPr>
            <w:tcW w:w="1170" w:type="dxa"/>
            <w:tcBorders>
              <w:left w:val="single" w:sz="4" w:space="0" w:color="000000"/>
              <w:bottom w:val="single" w:sz="4" w:space="0" w:color="000000"/>
            </w:tcBorders>
          </w:tcPr>
          <w:p>
            <w:pPr>
              <w:pStyle w:val="TableContents"/>
              <w:widowControl w:val="false"/>
              <w:numPr>
                <w:ilvl w:val="0"/>
                <w:numId w:val="0"/>
              </w:numPr>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Medicine (ophthalmology)</w:t>
            </w:r>
          </w:p>
        </w:tc>
        <w:tc>
          <w:tcPr>
            <w:tcW w:w="3060" w:type="dxa"/>
            <w:tcBorders>
              <w:left w:val="single" w:sz="4" w:space="0" w:color="000000"/>
              <w:bottom w:val="single" w:sz="4" w:space="0" w:color="000000"/>
            </w:tcBorders>
          </w:tcPr>
          <w:p>
            <w:pPr>
              <w:pStyle w:val="TableContents"/>
              <w:widowControl w:val="false"/>
              <w:numPr>
                <w:ilvl w:val="0"/>
                <w:numId w:val="0"/>
              </w:numPr>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A corneal restoration technology based on collagen films (scaffolds). Pre-cooling the substrate stimulates cell migration, accelerating healing. This development was developed by specialists from the Institute of Cytology of the Russian Academy of Sciences in collaboration with the Ioffe Physical-Technical Institute.</w:t>
            </w:r>
          </w:p>
        </w:tc>
        <w:tc>
          <w:tcPr>
            <w:tcW w:w="361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The new method can be used in regenerative therapy of visual organs.</w:t>
            </w:r>
          </w:p>
        </w:tc>
        <w:tc>
          <w:tcPr>
            <w:tcW w:w="1867"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https://tvzvezda.ru/news/20267121417-CDYBA.html</w:t>
            </w:r>
          </w:p>
        </w:tc>
      </w:tr>
      <w:tr>
        <w:trPr/>
        <w:tc>
          <w:tcPr>
            <w:tcW w:w="488" w:type="dxa"/>
            <w:tcBorders>
              <w:left w:val="single" w:sz="4" w:space="0" w:color="000000"/>
              <w:bottom w:val="single" w:sz="4" w:space="0" w:color="000000"/>
            </w:tcBorders>
          </w:tcPr>
          <w:p>
            <w:pPr>
              <w:pStyle w:val="TableContents"/>
              <w:widowControl w:val="false"/>
              <w:numPr>
                <w:ilvl w:val="0"/>
                <w:numId w:val="7"/>
              </w:numPr>
              <w:suppressAutoHyphens w:val="true"/>
              <w:overflowPunct w:val="false"/>
              <w:bidi w:val="0"/>
              <w:spacing w:lineRule="auto" w:line="240" w:before="0" w:after="0"/>
              <w:ind w:hanging="0" w:left="0"/>
              <w:jc w:val="left"/>
              <w:rPr>
                <w:rFonts w:ascii="Arial" w:hAnsi="Arial" w:eastAsia="Calibri" w:cs="Times New Roman"/>
                <w:color w:val="auto"/>
                <w:kern w:val="0"/>
                <w:sz w:val="18"/>
                <w:szCs w:val="18"/>
                <w:highlight w:val="none"/>
                <w:shd w:fill="auto" w:val="clear"/>
                <w:lang w:val="en-US" w:eastAsia="en-US" w:bidi="ar-SA"/>
              </w:rPr>
            </w:pPr>
            <w:r>
              <w:rPr>
                <w:rFonts w:eastAsia="Calibri" w:cs="Times New Roman" w:ascii="Arial" w:hAnsi="Arial"/>
                <w:color w:val="000000"/>
                <w:kern w:val="0"/>
                <w:sz w:val="18"/>
                <w:szCs w:val="18"/>
                <w:shd w:fill="auto" w:val="clear"/>
                <w:lang w:val="en-US" w:eastAsia="en-US" w:bidi="ar-SA"/>
              </w:rPr>
            </w:r>
          </w:p>
        </w:tc>
        <w:tc>
          <w:tcPr>
            <w:tcW w:w="1170" w:type="dxa"/>
            <w:tcBorders>
              <w:left w:val="single" w:sz="4" w:space="0" w:color="000000"/>
              <w:bottom w:val="single" w:sz="4" w:space="0" w:color="000000"/>
            </w:tcBorders>
          </w:tcPr>
          <w:p>
            <w:pPr>
              <w:pStyle w:val="TableContents"/>
              <w:widowControl w:val="false"/>
              <w:numPr>
                <w:ilvl w:val="0"/>
                <w:numId w:val="0"/>
              </w:numPr>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Agriculture</w:t>
            </w:r>
          </w:p>
        </w:tc>
        <w:tc>
          <w:tcPr>
            <w:tcW w:w="3060" w:type="dxa"/>
            <w:tcBorders>
              <w:left w:val="single" w:sz="4" w:space="0" w:color="000000"/>
              <w:bottom w:val="single" w:sz="4" w:space="0" w:color="000000"/>
            </w:tcBorders>
          </w:tcPr>
          <w:p>
            <w:pPr>
              <w:pStyle w:val="TableContents"/>
              <w:widowControl w:val="false"/>
              <w:numPr>
                <w:ilvl w:val="0"/>
                <w:numId w:val="0"/>
              </w:numPr>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Scientists from Perm Polytechnic University grew microalgae using flue gas from industrial plants (instead of commercial CO₂). Tests on rapeseed showed that the length and weight of the seedlings increased by 13%, and germination reached 97%. After this "feeding," the concentration of magnesium and phosphorus in the biomass increased two- to threefold. The fertilizer is safe: it contains no toxins, pathogens, or antibiotics, and decomposes faster than compost.</w:t>
            </w:r>
          </w:p>
        </w:tc>
        <w:tc>
          <w:tcPr>
            <w:tcW w:w="361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The new method can be used in agriculture as an environmentally friendly alternative to mineral and organic fertilizers.</w:t>
            </w:r>
          </w:p>
        </w:tc>
        <w:tc>
          <w:tcPr>
            <w:tcW w:w="1867"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https://www.gazeta.ru/science/news/2026/07/02/28808479.shtml</w:t>
            </w:r>
          </w:p>
        </w:tc>
      </w:tr>
      <w:tr>
        <w:trPr/>
        <w:tc>
          <w:tcPr>
            <w:tcW w:w="488" w:type="dxa"/>
            <w:tcBorders>
              <w:left w:val="single" w:sz="4" w:space="0" w:color="000000"/>
              <w:bottom w:val="single" w:sz="4" w:space="0" w:color="000000"/>
            </w:tcBorders>
          </w:tcPr>
          <w:p>
            <w:pPr>
              <w:pStyle w:val="TableContents"/>
              <w:widowControl w:val="false"/>
              <w:numPr>
                <w:ilvl w:val="0"/>
                <w:numId w:val="7"/>
              </w:numPr>
              <w:suppressAutoHyphens w:val="true"/>
              <w:overflowPunct w:val="false"/>
              <w:bidi w:val="0"/>
              <w:spacing w:lineRule="auto" w:line="240" w:before="0" w:after="0"/>
              <w:ind w:hanging="0" w:left="0"/>
              <w:jc w:val="left"/>
              <w:rPr>
                <w:rFonts w:ascii="Arial" w:hAnsi="Arial" w:eastAsia="Calibri" w:cs="Times New Roman"/>
                <w:color w:val="auto"/>
                <w:kern w:val="0"/>
                <w:sz w:val="18"/>
                <w:szCs w:val="18"/>
                <w:highlight w:val="none"/>
                <w:shd w:fill="auto" w:val="clear"/>
                <w:lang w:val="en-US" w:eastAsia="en-US" w:bidi="ar-SA"/>
              </w:rPr>
            </w:pPr>
            <w:r>
              <w:rPr>
                <w:rFonts w:eastAsia="Calibri" w:cs="Times New Roman" w:ascii="Arial" w:hAnsi="Arial"/>
                <w:color w:val="000000"/>
                <w:kern w:val="0"/>
                <w:sz w:val="18"/>
                <w:szCs w:val="18"/>
                <w:shd w:fill="auto" w:val="clear"/>
                <w:lang w:val="en-US" w:eastAsia="en-US" w:bidi="ar-SA"/>
              </w:rPr>
            </w:r>
          </w:p>
        </w:tc>
        <w:tc>
          <w:tcPr>
            <w:tcW w:w="1170" w:type="dxa"/>
            <w:tcBorders>
              <w:left w:val="single" w:sz="4" w:space="0" w:color="000000"/>
              <w:bottom w:val="single" w:sz="4" w:space="0" w:color="000000"/>
            </w:tcBorders>
          </w:tcPr>
          <w:p>
            <w:pPr>
              <w:pStyle w:val="TableContents"/>
              <w:widowControl w:val="false"/>
              <w:numPr>
                <w:ilvl w:val="0"/>
                <w:numId w:val="0"/>
              </w:numPr>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Chemistry (industry)</w:t>
            </w:r>
          </w:p>
        </w:tc>
        <w:tc>
          <w:tcPr>
            <w:tcW w:w="3060" w:type="dxa"/>
            <w:tcBorders>
              <w:left w:val="single" w:sz="4" w:space="0" w:color="000000"/>
              <w:bottom w:val="single" w:sz="4" w:space="0" w:color="000000"/>
            </w:tcBorders>
          </w:tcPr>
          <w:p>
            <w:pPr>
              <w:pStyle w:val="TableContents"/>
              <w:widowControl w:val="false"/>
              <w:numPr>
                <w:ilvl w:val="0"/>
                <w:numId w:val="0"/>
              </w:numPr>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Modernization of the Claus process. Chemists from the Institute of Catalysis SB RAS, together with Energosila, have perfected a method for extracting sulfur from hydrogen sulfide (a byproduct of oil and gas refining). The new technology (the so-called "double" reverse process) increases sulfur yield from 96% to 99.5% and reduces emissions by eightfold (from 4% to 0.5%). Three reactors with reversible gas flow were used, along with the addition of catalyst layers and metered air supply. This reduced energy consumption and production costs by approximately one-third, and ensured stable operation even with fluctuating gas composition.</w:t>
            </w:r>
          </w:p>
        </w:tc>
        <w:tc>
          <w:tcPr>
            <w:tcW w:w="3615" w:type="dxa"/>
            <w:tcBorders>
              <w:left w:val="single" w:sz="4" w:space="0" w:color="000000"/>
              <w:bottom w:val="single" w:sz="4" w:space="0" w:color="000000"/>
            </w:tcBorders>
          </w:tcPr>
          <w:p>
            <w:pPr>
              <w:pStyle w:val="TableContents"/>
              <w:widowControl w:val="false"/>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The new method can be applied in the oil and gas industry. Sulfur is needed in the production of fertilizers, tires, metallurgy, and medicine.</w:t>
            </w:r>
          </w:p>
        </w:tc>
        <w:tc>
          <w:tcPr>
            <w:tcW w:w="1867" w:type="dxa"/>
            <w:tcBorders>
              <w:left w:val="single" w:sz="4" w:space="0" w:color="000000"/>
              <w:bottom w:val="single" w:sz="4" w:space="0" w:color="000000"/>
              <w:right w:val="single" w:sz="4" w:space="0" w:color="000000"/>
            </w:tcBorders>
          </w:tcPr>
          <w:p>
            <w:pPr>
              <w:pStyle w:val="TableContents"/>
              <w:widowControl w:val="false"/>
              <w:suppressAutoHyphens w:val="true"/>
              <w:overflowPunct w:val="false"/>
              <w:bidi w:val="0"/>
              <w:spacing w:lineRule="auto" w:line="240" w:before="0" w:after="0"/>
              <w:ind w:hanging="0" w:left="0"/>
              <w:jc w:val="left"/>
              <w:rPr>
                <w:rFonts w:ascii="Arial" w:hAnsi="Arial"/>
                <w:sz w:val="18"/>
                <w:szCs w:val="18"/>
              </w:rPr>
            </w:pPr>
            <w:r>
              <w:rPr>
                <w:rFonts w:eastAsia="Calibri" w:cs="Times New Roman" w:ascii="Arial" w:hAnsi="Arial"/>
                <w:color w:val="000000"/>
                <w:kern w:val="0"/>
                <w:sz w:val="18"/>
                <w:szCs w:val="18"/>
                <w:shd w:fill="auto" w:val="clear"/>
                <w:lang w:val="en-US" w:eastAsia="en-US" w:bidi="ar-SA"/>
              </w:rPr>
              <w:t>https://ria.ru/20260713/uchenye-2104487843.html</w:t>
            </w:r>
          </w:p>
        </w:tc>
      </w:tr>
    </w:tbl>
    <w:p>
      <w:pPr>
        <w:pStyle w:val="Normal"/>
        <w:bidi w:val="0"/>
        <w:spacing w:lineRule="auto" w:line="240" w:before="0" w:after="0"/>
        <w:ind w:hanging="0" w:left="0" w:right="0"/>
        <w:jc w:val="left"/>
        <w:rPr>
          <w:rFonts w:ascii="Arial" w:hAnsi="Arial" w:cs="Arial"/>
          <w:b/>
          <w:color w:val="000000"/>
          <w:sz w:val="18"/>
          <w:szCs w:val="18"/>
          <w:highlight w:val="none"/>
          <w:shd w:fill="auto" w:val="clear"/>
          <w:lang w:val="en-IN"/>
        </w:rPr>
      </w:pPr>
      <w:r>
        <w:rPr>
          <w:rFonts w:cs="Arial" w:ascii="Arial" w:hAnsi="Arial"/>
          <w:b/>
          <w:color w:val="000000"/>
          <w:sz w:val="18"/>
          <w:szCs w:val="18"/>
          <w:shd w:fill="auto" w:val="clear"/>
          <w:lang w:val="en-IN"/>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Web"/>
              <w:widowControl w:val="false"/>
              <w:shd w:val="clear" w:fill="FFFFFF"/>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Web"/>
              <w:widowControl w:val="false"/>
              <w:shd w:val="clear" w:fill="FFFFFF"/>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bidi="ar-SA"/>
              </w:rPr>
              <w:t>Media reports in public domain</w:t>
            </w:r>
          </w:p>
        </w:tc>
      </w:tr>
    </w:tbl>
    <w:p>
      <w:pPr>
        <w:pStyle w:val="Normal"/>
        <w:bidi w:val="0"/>
        <w:spacing w:lineRule="auto" w:line="240" w:before="0" w:after="0"/>
        <w:ind w:hanging="0" w:left="0" w:right="0"/>
        <w:jc w:val="left"/>
        <w:rPr>
          <w:rFonts w:ascii="Arial" w:hAnsi="Arial" w:cs="Arial"/>
          <w:b/>
          <w:color w:val="000000"/>
          <w:sz w:val="18"/>
          <w:szCs w:val="18"/>
          <w:highlight w:val="none"/>
          <w:shd w:fill="auto" w:val="clear"/>
          <w:lang w:val="en-IN"/>
        </w:rPr>
      </w:pPr>
      <w:r>
        <w:rPr>
          <w:rFonts w:cs="Arial" w:ascii="Arial" w:hAnsi="Arial"/>
          <w:b/>
          <w:color w:val="000000"/>
          <w:sz w:val="18"/>
          <w:szCs w:val="18"/>
          <w:shd w:fill="auto" w:val="clear"/>
          <w:lang w:val="en-IN"/>
        </w:rPr>
      </w:r>
    </w:p>
    <w:p>
      <w:pPr>
        <w:pStyle w:val="Normal"/>
        <w:numPr>
          <w:ilvl w:val="0"/>
          <w:numId w:val="0"/>
        </w:numPr>
        <w:bidi w:val="0"/>
        <w:spacing w:lineRule="auto" w:line="240" w:before="0" w:after="0"/>
        <w:ind w:hanging="0" w:left="0" w:right="0"/>
        <w:jc w:val="left"/>
        <w:outlineLvl w:val="0"/>
        <w:rPr>
          <w:rFonts w:ascii="Arial" w:hAnsi="Arial"/>
          <w:sz w:val="18"/>
          <w:szCs w:val="18"/>
        </w:rPr>
      </w:pPr>
      <w:r>
        <w:rPr>
          <w:rFonts w:ascii="Arial" w:hAnsi="Arial"/>
          <w:b/>
          <w:bCs/>
          <w:sz w:val="18"/>
          <w:szCs w:val="18"/>
          <w:u w:val="none"/>
        </w:rPr>
        <w:t>f. Details of trade research, information dissemination activity of the commercial wing</w:t>
      </w:r>
    </w:p>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tbl>
      <w:tblPr>
        <w:tblW w:w="10031" w:type="dxa"/>
        <w:jc w:val="left"/>
        <w:tblInd w:w="108" w:type="dxa"/>
        <w:tblLayout w:type="fixed"/>
        <w:tblCellMar>
          <w:top w:w="0" w:type="dxa"/>
          <w:left w:w="108" w:type="dxa"/>
          <w:bottom w:w="0" w:type="dxa"/>
          <w:right w:w="108" w:type="dxa"/>
        </w:tblCellMar>
      </w:tblPr>
      <w:tblGrid>
        <w:gridCol w:w="717"/>
        <w:gridCol w:w="1712"/>
        <w:gridCol w:w="4517"/>
        <w:gridCol w:w="3085"/>
      </w:tblGrid>
      <w:tr>
        <w:trPr/>
        <w:tc>
          <w:tcPr>
            <w:tcW w:w="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S. No.</w:t>
            </w:r>
          </w:p>
        </w:tc>
        <w:tc>
          <w:tcPr>
            <w:tcW w:w="17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Nature of activity (trade research, information dissemination, seminars/webinars etc)</w:t>
            </w:r>
          </w:p>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(Max.200 words)</w:t>
            </w:r>
          </w:p>
        </w:tc>
        <w:tc>
          <w:tcPr>
            <w:tcW w:w="4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Details of Seminar/ webinar conference (date/ venue, no of participants) or research</w:t>
            </w:r>
          </w:p>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(Max.200 words)</w:t>
            </w:r>
          </w:p>
        </w:tc>
        <w:tc>
          <w:tcPr>
            <w:tcW w:w="3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Details of trade research (title of the report, executive summary, date of publication)</w:t>
            </w:r>
          </w:p>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(Max.200 words)</w:t>
            </w:r>
          </w:p>
        </w:tc>
      </w:tr>
      <w:tr>
        <w:trPr/>
        <w:tc>
          <w:tcPr>
            <w:tcW w:w="71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List of upcoming exhibitions in Russia</w:t>
            </w:r>
          </w:p>
        </w:tc>
        <w:tc>
          <w:tcPr>
            <w:tcW w:w="308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Indian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List of upcoming exhibitions in India</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uploaded on the Embassy’s website</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7th Edition of SGCCI Yarn Expo 2026, 21-23/08/2026, Surat</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RBSM by SME Forum, 06-08/09/2026, Vijayawada</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9th Global EXIM Summit, 12/09/2026, Pune</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Bharat Telecom, 07-10/11/2026, New Delhi</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India Chem, 22-24/10/2026, Mumbai</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Maritime India Conference &amp; Exhibition, 02-04/11/2026, Mumbai</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Indiasoft, 23-25/03/2027, New Delhi</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India Electronics Expo, 23-25/03/2027, New Delhi</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8"/>
              </w:numPr>
              <w:bidi w:val="0"/>
              <w:spacing w:lineRule="auto" w:line="240" w:before="0" w:after="0"/>
              <w:ind w:hanging="0" w:left="0"/>
              <w:jc w:val="left"/>
              <w:rPr>
                <w:rFonts w:ascii="Arial" w:hAnsi="Arial" w:cs="Arial"/>
                <w:color w:val="000000"/>
                <w:sz w:val="18"/>
                <w:szCs w:val="18"/>
                <w:shd w:fill="auto" w:val="clear"/>
              </w:rPr>
            </w:pPr>
            <w:r>
              <w:rPr>
                <w:rFonts w:cs="Arial" w:ascii="Arial" w:hAnsi="Arial"/>
                <w:color w:val="000000"/>
                <w:sz w:val="18"/>
                <w:szCs w:val="18"/>
                <w:shd w:fill="auto" w:val="clear"/>
              </w:rPr>
            </w:r>
          </w:p>
        </w:tc>
        <w:tc>
          <w:tcPr>
            <w:tcW w:w="1712"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dissemination</w:t>
            </w:r>
          </w:p>
        </w:tc>
        <w:tc>
          <w:tcPr>
            <w:tcW w:w="4517"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Global Food Pro, 13-15/05/2027, Bengaluru</w:t>
            </w:r>
          </w:p>
        </w:tc>
        <w:tc>
          <w:tcPr>
            <w:tcW w:w="30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Information shared with Russian stakeholders</w:t>
            </w:r>
          </w:p>
        </w:tc>
      </w:tr>
    </w:tbl>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sz w:val="18"/>
                <w:szCs w:val="18"/>
                <w:shd w:fill="auto" w:val="clear"/>
              </w:rPr>
              <w:t>Records of E&amp;C Wing, Embassy of India, Moscow</w:t>
            </w:r>
          </w:p>
        </w:tc>
      </w:tr>
    </w:tbl>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p>
      <w:pPr>
        <w:pStyle w:val="Normal"/>
        <w:numPr>
          <w:ilvl w:val="0"/>
          <w:numId w:val="0"/>
        </w:numPr>
        <w:bidi w:val="0"/>
        <w:spacing w:lineRule="auto" w:line="240" w:before="0" w:after="0"/>
        <w:ind w:hanging="0" w:left="0" w:right="0"/>
        <w:jc w:val="left"/>
        <w:outlineLvl w:val="0"/>
        <w:rPr>
          <w:rFonts w:ascii="Arial" w:hAnsi="Arial"/>
          <w:sz w:val="18"/>
          <w:szCs w:val="18"/>
        </w:rPr>
      </w:pPr>
      <w:r>
        <w:rPr>
          <w:rFonts w:cs="Arial" w:ascii="Arial" w:hAnsi="Arial"/>
          <w:b/>
          <w:color w:val="000000"/>
          <w:sz w:val="18"/>
          <w:szCs w:val="18"/>
          <w:shd w:fill="auto" w:val="clear"/>
        </w:rPr>
        <w:t>g. Details of activities conducted out of Trade promotion budget:</w:t>
      </w:r>
    </w:p>
    <w:p>
      <w:pPr>
        <w:pStyle w:val="Normal"/>
        <w:numPr>
          <w:ilvl w:val="0"/>
          <w:numId w:val="0"/>
        </w:numPr>
        <w:bidi w:val="0"/>
        <w:spacing w:lineRule="auto" w:line="240" w:before="0" w:after="0"/>
        <w:ind w:hanging="0" w:left="0" w:right="0"/>
        <w:jc w:val="left"/>
        <w:outlineLvl w:val="0"/>
        <w:rPr>
          <w:rFonts w:ascii="Arial" w:hAnsi="Arial"/>
          <w:sz w:val="18"/>
          <w:szCs w:val="18"/>
          <w:highlight w:val="none"/>
          <w:shd w:fill="auto" w:val="clear"/>
        </w:rPr>
      </w:pPr>
      <w:r>
        <w:rPr>
          <w:rFonts w:ascii="Arial" w:hAnsi="Arial"/>
          <w:sz w:val="18"/>
          <w:szCs w:val="18"/>
          <w:shd w:fill="auto" w:val="clear"/>
        </w:rPr>
      </w:r>
    </w:p>
    <w:tbl>
      <w:tblPr>
        <w:tblW w:w="10065" w:type="dxa"/>
        <w:jc w:val="left"/>
        <w:tblInd w:w="79" w:type="dxa"/>
        <w:tblLayout w:type="fixed"/>
        <w:tblCellMar>
          <w:top w:w="0" w:type="dxa"/>
          <w:left w:w="108" w:type="dxa"/>
          <w:bottom w:w="0" w:type="dxa"/>
          <w:right w:w="108" w:type="dxa"/>
        </w:tblCellMar>
      </w:tblPr>
      <w:tblGrid>
        <w:gridCol w:w="1949"/>
        <w:gridCol w:w="2193"/>
        <w:gridCol w:w="2438"/>
        <w:gridCol w:w="3485"/>
      </w:tblGrid>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BE for current financial year</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RE for current financial year</w:t>
            </w:r>
          </w:p>
        </w:tc>
        <w:tc>
          <w:tcPr>
            <w:tcW w:w="24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Amount utilized</w:t>
            </w:r>
          </w:p>
        </w:tc>
        <w:tc>
          <w:tcPr>
            <w:tcW w:w="3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Details of Activity</w:t>
            </w:r>
          </w:p>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(Max.200 words)</w:t>
            </w:r>
          </w:p>
        </w:tc>
      </w:tr>
      <w:tr>
        <w:trPr/>
        <w:tc>
          <w:tcPr>
            <w:tcW w:w="1949"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color w:val="000000"/>
                <w:kern w:val="0"/>
                <w:sz w:val="18"/>
                <w:szCs w:val="18"/>
                <w:shd w:fill="auto" w:val="clear"/>
                <w:lang w:val="en-US" w:eastAsia="en-US" w:bidi="ar-SA"/>
              </w:rPr>
              <w:t>2 000 000 INR</w:t>
            </w:r>
          </w:p>
        </w:tc>
        <w:tc>
          <w:tcPr>
            <w:tcW w:w="219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eastAsia="Calibri" w:cs="Arial" w:ascii="Arial" w:hAnsi="Arial"/>
                <w:color w:val="000000"/>
                <w:kern w:val="0"/>
                <w:sz w:val="18"/>
                <w:szCs w:val="18"/>
                <w:shd w:fill="auto" w:val="clear"/>
                <w:lang w:val="en-US" w:eastAsia="en-US" w:bidi="ar-SA"/>
              </w:rPr>
              <w:t>NA</w:t>
            </w:r>
          </w:p>
        </w:tc>
        <w:tc>
          <w:tcPr>
            <w:tcW w:w="2438" w:type="dxa"/>
            <w:tcBorders>
              <w:left w:val="single" w:sz="4" w:space="0" w:color="000000"/>
              <w:bottom w:val="single" w:sz="4" w:space="0" w:color="000000"/>
              <w:right w:val="single" w:sz="4" w:space="0" w:color="000000"/>
            </w:tcBorders>
          </w:tcPr>
          <w:p>
            <w:pPr>
              <w:pStyle w:val="Normal"/>
              <w:widowControl w:val="false"/>
              <w:spacing w:lineRule="auto" w:line="240"/>
              <w:ind w:hanging="0" w:left="0" w:right="0"/>
              <w:jc w:val="center"/>
              <w:rPr>
                <w:rFonts w:ascii="Arial" w:hAnsi="Arial"/>
                <w:sz w:val="18"/>
                <w:szCs w:val="18"/>
              </w:rPr>
            </w:pPr>
            <w:r>
              <w:rPr>
                <w:rFonts w:ascii="Arial" w:hAnsi="Arial"/>
                <w:color w:val="000000"/>
                <w:sz w:val="18"/>
                <w:szCs w:val="18"/>
                <w:shd w:fill="auto" w:val="clear"/>
              </w:rPr>
              <w:t>760 378.89 INR</w:t>
            </w:r>
          </w:p>
          <w:p>
            <w:pPr>
              <w:pStyle w:val="Normal"/>
              <w:widowControl w:val="false"/>
              <w:spacing w:lineRule="auto" w:line="240"/>
              <w:ind w:hanging="0" w:left="0" w:right="0"/>
              <w:jc w:val="center"/>
              <w:rPr>
                <w:rFonts w:ascii="Arial" w:hAnsi="Arial"/>
                <w:sz w:val="18"/>
                <w:szCs w:val="18"/>
              </w:rPr>
            </w:pPr>
            <w:r>
              <w:rPr>
                <w:rFonts w:ascii="Arial" w:hAnsi="Arial"/>
                <w:color w:val="000000"/>
                <w:sz w:val="18"/>
                <w:szCs w:val="18"/>
                <w:shd w:fill="auto" w:val="clear"/>
              </w:rPr>
              <w:t>(677 309.27 INR in July 2026)</w:t>
            </w:r>
          </w:p>
        </w:tc>
        <w:tc>
          <w:tcPr>
            <w:tcW w:w="3485"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ind w:hanging="0" w:left="0" w:right="0"/>
              <w:jc w:val="center"/>
              <w:rPr>
                <w:rFonts w:ascii="Arial" w:hAnsi="Arial"/>
                <w:sz w:val="18"/>
                <w:szCs w:val="18"/>
              </w:rPr>
            </w:pPr>
            <w:r>
              <w:rPr>
                <w:rFonts w:ascii="Arial" w:hAnsi="Arial"/>
                <w:sz w:val="18"/>
                <w:szCs w:val="18"/>
              </w:rPr>
              <w:t>Mango promotion event during the Charity Indian Bazaar on 11 July 2026</w:t>
            </w:r>
          </w:p>
        </w:tc>
      </w:tr>
    </w:tbl>
    <w:p>
      <w:pPr>
        <w:pStyle w:val="Normal"/>
        <w:bidi w:val="0"/>
        <w:spacing w:lineRule="auto" w:line="240" w:before="0" w:after="0"/>
        <w:ind w:hanging="0" w:left="0" w:right="0"/>
        <w:jc w:val="left"/>
        <w:rPr>
          <w:rFonts w:ascii="Arial" w:hAnsi="Arial" w:cs="Arial"/>
          <w:b/>
          <w:color w:val="000000"/>
          <w:sz w:val="18"/>
          <w:szCs w:val="18"/>
          <w:highlight w:val="none"/>
          <w:shd w:fill="auto" w:val="clear"/>
          <w:lang w:val="en-IN"/>
        </w:rPr>
      </w:pPr>
      <w:r>
        <w:rPr>
          <w:rFonts w:cs="Arial" w:ascii="Arial" w:hAnsi="Arial"/>
          <w:b/>
          <w:color w:val="000000"/>
          <w:sz w:val="18"/>
          <w:szCs w:val="18"/>
          <w:shd w:fill="auto" w:val="clear"/>
          <w:lang w:val="en-IN"/>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Web"/>
              <w:widowControl w:val="false"/>
              <w:shd w:val="clear" w:fill="FFFFFF"/>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Web"/>
              <w:widowControl w:val="false"/>
              <w:shd w:val="clear" w:fill="FFFFFF"/>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bidi="ar-SA"/>
              </w:rPr>
              <w:t>Records of E&amp;C Wing, Embassy of India, Moscow</w:t>
            </w:r>
          </w:p>
        </w:tc>
      </w:tr>
    </w:tbl>
    <w:p>
      <w:pPr>
        <w:pStyle w:val="Normal"/>
        <w:bidi w:val="0"/>
        <w:spacing w:lineRule="auto" w:line="240" w:before="0" w:after="0"/>
        <w:ind w:hanging="0" w:left="0" w:right="0"/>
        <w:jc w:val="left"/>
        <w:rPr>
          <w:rFonts w:ascii="Arial" w:hAnsi="Arial" w:cs="Arial"/>
          <w:b/>
          <w:color w:val="000000"/>
          <w:sz w:val="18"/>
          <w:szCs w:val="18"/>
          <w:highlight w:val="none"/>
          <w:shd w:fill="auto" w:val="clear"/>
          <w:lang w:val="en-IN"/>
        </w:rPr>
      </w:pPr>
      <w:r>
        <w:rPr>
          <w:rFonts w:cs="Arial" w:ascii="Arial" w:hAnsi="Arial"/>
          <w:b/>
          <w:color w:val="000000"/>
          <w:sz w:val="18"/>
          <w:szCs w:val="18"/>
          <w:shd w:fill="auto" w:val="clear"/>
          <w:lang w:val="en-IN"/>
        </w:rPr>
      </w:r>
    </w:p>
    <w:p>
      <w:pPr>
        <w:pStyle w:val="Normal"/>
        <w:bidi w:val="0"/>
        <w:spacing w:lineRule="auto" w:line="240" w:before="0" w:after="0"/>
        <w:ind w:hanging="0" w:left="0" w:right="0"/>
        <w:jc w:val="left"/>
        <w:rPr>
          <w:rFonts w:ascii="Arial" w:hAnsi="Arial" w:cs="Arial"/>
          <w:b/>
          <w:color w:val="000000"/>
          <w:sz w:val="18"/>
          <w:szCs w:val="18"/>
          <w:highlight w:val="none"/>
          <w:shd w:fill="auto" w:val="clear"/>
          <w:lang w:val="en-IN"/>
        </w:rPr>
      </w:pPr>
      <w:r>
        <w:rPr>
          <w:rFonts w:cs="Arial" w:ascii="Arial" w:hAnsi="Arial"/>
          <w:b/>
          <w:color w:val="000000"/>
          <w:sz w:val="18"/>
          <w:szCs w:val="18"/>
          <w:shd w:fill="auto" w:val="clear"/>
          <w:lang w:val="en-IN"/>
        </w:rPr>
      </w:r>
    </w:p>
    <w:p>
      <w:pPr>
        <w:pStyle w:val="Normal"/>
        <w:bidi w:val="0"/>
        <w:spacing w:lineRule="auto" w:line="240" w:before="0" w:after="0"/>
        <w:ind w:hanging="0" w:left="0" w:right="0"/>
        <w:jc w:val="left"/>
        <w:rPr>
          <w:rFonts w:ascii="Arial" w:hAnsi="Arial"/>
          <w:sz w:val="18"/>
          <w:szCs w:val="18"/>
        </w:rPr>
      </w:pPr>
      <w:r>
        <w:rPr>
          <w:rFonts w:ascii="Arial" w:hAnsi="Arial"/>
          <w:b/>
          <w:bCs/>
          <w:sz w:val="18"/>
          <w:szCs w:val="18"/>
          <w:u w:val="none"/>
        </w:rPr>
        <w:t>h. Action taken on Complaints from foreign/ Indian Buyer/ Supplier:</w:t>
      </w:r>
    </w:p>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10031" w:type="dxa"/>
        <w:jc w:val="left"/>
        <w:tblInd w:w="108" w:type="dxa"/>
        <w:tblLayout w:type="fixed"/>
        <w:tblCellMar>
          <w:top w:w="0" w:type="dxa"/>
          <w:left w:w="108" w:type="dxa"/>
          <w:bottom w:w="0" w:type="dxa"/>
          <w:right w:w="108" w:type="dxa"/>
        </w:tblCellMar>
      </w:tblPr>
      <w:tblGrid>
        <w:gridCol w:w="2153"/>
        <w:gridCol w:w="1627"/>
        <w:gridCol w:w="2082"/>
        <w:gridCol w:w="4169"/>
      </w:tblGrid>
      <w:tr>
        <w:trPr/>
        <w:tc>
          <w:tcPr>
            <w:tcW w:w="21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No. of Trade complaints received</w:t>
            </w:r>
          </w:p>
        </w:tc>
        <w:tc>
          <w:tcPr>
            <w:tcW w:w="1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From Local companies</w:t>
            </w:r>
          </w:p>
        </w:tc>
        <w:tc>
          <w:tcPr>
            <w:tcW w:w="20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From Indian Companies</w:t>
            </w:r>
          </w:p>
        </w:tc>
        <w:tc>
          <w:tcPr>
            <w:tcW w:w="41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b/>
                <w:bCs/>
                <w:color w:val="000000"/>
                <w:sz w:val="18"/>
                <w:szCs w:val="18"/>
                <w:shd w:fill="auto" w:val="clear"/>
              </w:rPr>
              <w:t>No. of complaints on which Action is Taken</w:t>
            </w:r>
          </w:p>
        </w:tc>
      </w:tr>
      <w:tr>
        <w:trPr>
          <w:trHeight w:val="1" w:hRule="atLeast"/>
        </w:trPr>
        <w:tc>
          <w:tcPr>
            <w:tcW w:w="21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0</w:t>
            </w:r>
          </w:p>
        </w:tc>
        <w:tc>
          <w:tcPr>
            <w:tcW w:w="1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0</w:t>
            </w:r>
          </w:p>
        </w:tc>
        <w:tc>
          <w:tcPr>
            <w:tcW w:w="20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0</w:t>
            </w:r>
          </w:p>
        </w:tc>
        <w:tc>
          <w:tcPr>
            <w:tcW w:w="41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ind w:hanging="0" w:left="0" w:right="0"/>
              <w:jc w:val="center"/>
              <w:rPr>
                <w:rFonts w:ascii="Arial" w:hAnsi="Arial"/>
                <w:sz w:val="18"/>
                <w:szCs w:val="18"/>
              </w:rPr>
            </w:pPr>
            <w:r>
              <w:rPr>
                <w:rFonts w:cs="Arial" w:ascii="Arial" w:hAnsi="Arial"/>
                <w:color w:val="000000"/>
                <w:sz w:val="18"/>
                <w:szCs w:val="18"/>
                <w:shd w:fill="auto" w:val="clear"/>
              </w:rPr>
              <w:t>0</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
              <w:widowControl w:val="false"/>
              <w:suppressAutoHyphens w:val="true"/>
              <w:bidi w:val="0"/>
              <w:spacing w:lineRule="auto" w:line="240" w:before="0" w:after="0"/>
              <w:ind w:hanging="0" w:left="0" w:right="0"/>
              <w:jc w:val="left"/>
              <w:rPr>
                <w:rFonts w:ascii="Arial" w:hAnsi="Arial"/>
                <w:sz w:val="18"/>
                <w:szCs w:val="18"/>
              </w:rPr>
            </w:pPr>
            <w:r>
              <w:rPr>
                <w:rFonts w:cs="Arial" w:ascii="Arial" w:hAnsi="Arial"/>
                <w:color w:val="000000"/>
                <w:kern w:val="0"/>
                <w:sz w:val="18"/>
                <w:szCs w:val="18"/>
                <w:shd w:fill="auto" w:val="clear"/>
                <w:lang w:eastAsia="en-US"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Web"/>
              <w:widowControl w:val="false"/>
              <w:shd w:val="clear" w:fill="FFFFFF"/>
              <w:suppressAutoHyphens w:val="true"/>
              <w:bidi w:val="0"/>
              <w:spacing w:lineRule="auto" w:line="240" w:before="0" w:after="0"/>
              <w:ind w:hanging="0" w:left="0" w:right="0"/>
              <w:jc w:val="left"/>
              <w:rPr>
                <w:rFonts w:ascii="Arial" w:hAnsi="Arial"/>
                <w:sz w:val="18"/>
                <w:szCs w:val="18"/>
              </w:rPr>
            </w:pPr>
            <w:r>
              <w:rPr>
                <w:rFonts w:eastAsia="Times New Roman" w:cs="Arial" w:ascii="Arial" w:hAnsi="Arial"/>
                <w:color w:val="000000"/>
                <w:kern w:val="0"/>
                <w:sz w:val="18"/>
                <w:szCs w:val="18"/>
                <w:shd w:fill="auto" w:val="clear"/>
                <w:lang w:val="en-IN" w:eastAsia="en-IN" w:bidi="ar-SA"/>
              </w:rPr>
              <w:t>Records of E&amp;C Wing, Embassy of India, Moscow</w:t>
            </w:r>
          </w:p>
        </w:tc>
      </w:tr>
    </w:tbl>
    <w:p>
      <w:pPr>
        <w:pStyle w:val="Normal"/>
        <w:bidi w:val="0"/>
        <w:spacing w:lineRule="auto" w:line="240" w:before="0" w:after="0"/>
        <w:ind w:hanging="0" w:left="0" w:right="0"/>
        <w:jc w:val="left"/>
        <w:rPr>
          <w:rFonts w:ascii="Arial" w:hAnsi="Arial"/>
          <w:sz w:val="18"/>
          <w:szCs w:val="18"/>
          <w:highlight w:val="none"/>
          <w:shd w:fill="auto" w:val="clear"/>
        </w:rPr>
      </w:pPr>
      <w:r>
        <w:rPr>
          <w:rFonts w:ascii="Arial" w:hAnsi="Arial"/>
          <w:sz w:val="18"/>
          <w:szCs w:val="18"/>
          <w:shd w:fill="auto" w:val="clea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Mono">
    <w:altName w:val="Courier New"/>
    <w:charset w:val="01"/>
    <w:family w:val="roman"/>
    <w:pitch w:val="variable"/>
  </w:font>
  <w:font w:name="Liberation Sans">
    <w:altName w:val="Arial"/>
    <w:charset w:val="01"/>
    <w:family w:val="swiss"/>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oto Serif CJK SC" w:cs="Noto Sans Devanagari"/>
      <w:color w:val="auto"/>
      <w:kern w:val="2"/>
      <w:sz w:val="24"/>
      <w:szCs w:val="24"/>
      <w:lang w:val="en-US" w:eastAsia="zh-CN" w:bidi="hi-IN"/>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FollowedHyperlink">
    <w:name w:val="FollowedHyperlink"/>
    <w:rPr>
      <w:color w:val="800000"/>
      <w:u w:val="single"/>
      <w:lang w:val="zxx" w:eastAsia="zxx" w:bidi="zxx"/>
    </w:rPr>
  </w:style>
  <w:style w:type="character" w:styleId="SourceText">
    <w:name w:val="Source Text"/>
    <w:qFormat/>
    <w:rPr>
      <w:rFonts w:ascii="Liberation Mono" w:hAnsi="Liberation Mono" w:eastAsia="Liberation Mono" w:cs="Liberation Mono"/>
    </w:rPr>
  </w:style>
  <w:style w:type="character" w:styleId="contentpasted2">
    <w:name w:val="contentpasted2"/>
    <w:basedOn w:val="DefaultParagraphFont"/>
    <w:qFormat/>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paragraph" w:styleId="NormalWeb">
    <w:name w:val="Normal (Web)"/>
    <w:basedOn w:val="Normal"/>
    <w:qFormat/>
    <w:pPr>
      <w:spacing w:lineRule="auto" w:line="240" w:before="280" w:after="280"/>
    </w:pPr>
    <w:rPr>
      <w:rFonts w:eastAsia="Times New Roman"/>
      <w:szCs w:val="24"/>
      <w:lang w:val="en-IN" w:eastAsia="en-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rgus.vetrf.ru/pub/operatorui?_action=downloadEnterpriseStatusDirection&amp;pk=36284" TargetMode="External"/><Relationship Id="rId3" Type="http://schemas.openxmlformats.org/officeDocument/2006/relationships/hyperlink" Target="https://www.consultant.ru/document/cons_doc_LAW_493607/4d17a07d48e7ac5debb838336975310558e80680/" TargetMode="External"/><Relationship Id="rId4" Type="http://schemas.openxmlformats.org/officeDocument/2006/relationships/hyperlink" Target="mailto:welcome@ai-so.ru" TargetMode="External"/><Relationship Id="rId5" Type="http://schemas.openxmlformats.org/officeDocument/2006/relationships/hyperlink" Target="mailto:minek@minek.rkomi.ru" TargetMode="External"/><Relationship Id="rId6" Type="http://schemas.openxmlformats.org/officeDocument/2006/relationships/hyperlink" Target="mailto:office@msp29.ru" TargetMode="External"/><Relationship Id="rId7" Type="http://schemas.openxmlformats.org/officeDocument/2006/relationships/hyperlink" Target="https://zakupki.gov.ru/"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A4</Template>
  <TotalTime>1532</TotalTime>
  <Application>LibreOffice/25.8.1.1$Linux_X86_64 LibreOffice_project/580$Build-1</Application>
  <AppVersion>15.0000</AppVersion>
  <Pages>24</Pages>
  <Words>8811</Words>
  <Characters>62464</Characters>
  <CharactersWithSpaces>69616</CharactersWithSpaces>
  <Paragraphs>1686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2026-08-04T09:46:07Z</dcterms:created>
  <dc:creator/>
  <dc:description/>
  <dc:language>en-US</dc:language>
  <cp:lastModifiedBy/>
  <dcterms:modified xsi:type="dcterms:W3CDTF">2026-08-14T16:46:01Z</dcterms:modified>
  <cp:revision>9</cp:revision>
  <dc:subject/>
  <dc:title>A4</dc:title>
</cp:coreProperties>
</file>

<file path=docProps/custom.xml><?xml version="1.0" encoding="utf-8"?>
<Properties xmlns="http://schemas.openxmlformats.org/officeDocument/2006/custom-properties" xmlns:vt="http://schemas.openxmlformats.org/officeDocument/2006/docPropsVTypes"/>
</file>